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B6615" w14:textId="4DFB4F96" w:rsidR="00720029" w:rsidRPr="0097134E" w:rsidRDefault="0097134E" w:rsidP="007E69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97134E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9108C" wp14:editId="3B693BA3">
                <wp:simplePos x="0" y="0"/>
                <wp:positionH relativeFrom="column">
                  <wp:posOffset>5815680</wp:posOffset>
                </wp:positionH>
                <wp:positionV relativeFrom="paragraph">
                  <wp:posOffset>-506292</wp:posOffset>
                </wp:positionV>
                <wp:extent cx="204952" cy="252248"/>
                <wp:effectExtent l="0" t="0" r="24130" b="1460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52" cy="2522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EB228C" w14:textId="77777777" w:rsidR="0097134E" w:rsidRDefault="00971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910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57.95pt;margin-top:-39.85pt;width:16.15pt;height:1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" fillcolor="white [3212]" strokecolor="white [3212]" strokeweight=".5pt">
                <v:textbox>
                  <w:txbxContent>
                    <w:p w14:paraId="28EB228C" w14:textId="77777777" w:rsidR="0097134E" w:rsidRDefault="0097134E"/>
                  </w:txbxContent>
                </v:textbox>
              </v:shape>
            </w:pict>
          </mc:Fallback>
        </mc:AlternateContent>
      </w:r>
      <w:r w:rsidR="004A5930" w:rsidRPr="0097134E">
        <w:rPr>
          <w:rFonts w:ascii="Arial" w:hAnsi="Arial" w:cs="Arial"/>
          <w:b/>
          <w:bCs/>
          <w:color w:val="000000"/>
        </w:rPr>
        <w:t>ANÁLISE COMPARATIVA DA AVALIAÇÃO ANTROPOMÉTRICA DE ALUNOS DO ENSINO MÉDIO INTEGRAL E REGULAR DE UMA ESCOLA NA REGIÃO SUL DE SANTA CATARINA</w:t>
      </w:r>
    </w:p>
    <w:p w14:paraId="267D0D06" w14:textId="1F1E186F" w:rsidR="00695F13" w:rsidRPr="0097134E" w:rsidRDefault="00695F13" w:rsidP="007E69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609C2B9F" w14:textId="77777777" w:rsidR="004F27FE" w:rsidRPr="0097134E" w:rsidRDefault="004F27FE" w:rsidP="007E69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67E48ADD" w14:textId="77777777" w:rsidR="000C1347" w:rsidRPr="0097134E" w:rsidRDefault="000C1347" w:rsidP="007E69A7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E352D9">
        <w:rPr>
          <w:rFonts w:ascii="Arial" w:hAnsi="Arial" w:cs="Arial"/>
          <w:lang w:val="en-US"/>
        </w:rPr>
        <w:br/>
      </w:r>
      <w:r w:rsidRPr="0097134E">
        <w:rPr>
          <w:rFonts w:ascii="Arial" w:hAnsi="Arial" w:cs="Arial"/>
          <w:b/>
          <w:color w:val="222222"/>
          <w:shd w:val="clear" w:color="auto" w:fill="F8F9FA"/>
          <w:lang w:val="en-US"/>
        </w:rPr>
        <w:t>COMPARATIVE ANALYSIS OF THE ANTHROPOMETRIC ASSESSMENT OF INTEGRAL AND REGULAR HIGH SCHOOL STUDENTS IN THE SOUTHERN SANTA CATARINA REGION</w:t>
      </w:r>
    </w:p>
    <w:p w14:paraId="108AE7EE" w14:textId="77777777" w:rsidR="000C1347" w:rsidRPr="0097134E" w:rsidRDefault="000C1347" w:rsidP="007E69A7">
      <w:pPr>
        <w:spacing w:line="276" w:lineRule="auto"/>
        <w:jc w:val="center"/>
        <w:rPr>
          <w:rFonts w:ascii="Arial" w:hAnsi="Arial" w:cs="Arial"/>
          <w:b/>
          <w:bCs/>
          <w:color w:val="000000"/>
          <w:highlight w:val="yellow"/>
          <w:lang w:val="en-US"/>
        </w:rPr>
      </w:pPr>
    </w:p>
    <w:p w14:paraId="0B6499C9" w14:textId="2DE27287" w:rsidR="000C1347" w:rsidRPr="0097134E" w:rsidRDefault="000C1347" w:rsidP="007E69A7">
      <w:pPr>
        <w:spacing w:line="276" w:lineRule="auto"/>
        <w:jc w:val="center"/>
        <w:rPr>
          <w:rFonts w:ascii="Arial" w:hAnsi="Arial" w:cs="Arial"/>
          <w:b/>
          <w:bCs/>
          <w:color w:val="000000"/>
          <w:highlight w:val="yellow"/>
          <w:lang w:val="en-US"/>
        </w:rPr>
      </w:pPr>
    </w:p>
    <w:p w14:paraId="63506ACD" w14:textId="77777777" w:rsidR="004F27FE" w:rsidRPr="0097134E" w:rsidRDefault="004F27FE" w:rsidP="007E69A7">
      <w:pPr>
        <w:spacing w:line="276" w:lineRule="auto"/>
        <w:jc w:val="center"/>
        <w:rPr>
          <w:rFonts w:ascii="Arial" w:hAnsi="Arial" w:cs="Arial"/>
          <w:b/>
          <w:bCs/>
          <w:color w:val="000000"/>
          <w:highlight w:val="yellow"/>
          <w:lang w:val="en-US"/>
        </w:rPr>
      </w:pPr>
    </w:p>
    <w:p w14:paraId="6A880731" w14:textId="3C10B15B" w:rsidR="008A17A6" w:rsidRPr="0097134E" w:rsidRDefault="004A5930" w:rsidP="007E69A7">
      <w:pPr>
        <w:spacing w:line="276" w:lineRule="auto"/>
        <w:jc w:val="center"/>
        <w:rPr>
          <w:rFonts w:ascii="Arial" w:hAnsi="Arial" w:cs="Arial"/>
        </w:rPr>
      </w:pPr>
      <w:r w:rsidRPr="0097134E">
        <w:rPr>
          <w:rFonts w:ascii="Arial" w:hAnsi="Arial" w:cs="Arial"/>
        </w:rPr>
        <w:t>Filipe Rodrigues de Souza</w:t>
      </w:r>
      <w:r w:rsidR="00BB1F25" w:rsidRPr="0097134E">
        <w:rPr>
          <w:rStyle w:val="Refdenotaderodap"/>
          <w:rFonts w:ascii="Arial" w:hAnsi="Arial" w:cs="Arial"/>
        </w:rPr>
        <w:footnoteReference w:id="1"/>
      </w:r>
      <w:r w:rsidR="008A17A6" w:rsidRPr="0097134E">
        <w:rPr>
          <w:rFonts w:ascii="Arial" w:hAnsi="Arial" w:cs="Arial"/>
        </w:rPr>
        <w:t xml:space="preserve">, </w:t>
      </w:r>
      <w:r w:rsidRPr="0097134E">
        <w:rPr>
          <w:rFonts w:ascii="Arial" w:hAnsi="Arial" w:cs="Arial"/>
        </w:rPr>
        <w:t>Franz Kozlowski Net</w:t>
      </w:r>
      <w:r w:rsidR="00965049" w:rsidRPr="0097134E">
        <w:rPr>
          <w:rFonts w:ascii="Arial" w:hAnsi="Arial" w:cs="Arial"/>
        </w:rPr>
        <w:t>o</w:t>
      </w:r>
      <w:r w:rsidR="00BB1F25" w:rsidRPr="0097134E">
        <w:rPr>
          <w:rStyle w:val="Refdenotaderodap"/>
          <w:rFonts w:ascii="Arial" w:hAnsi="Arial" w:cs="Arial"/>
        </w:rPr>
        <w:footnoteReference w:id="2"/>
      </w:r>
      <w:r w:rsidR="008A17A6" w:rsidRPr="0097134E">
        <w:rPr>
          <w:rFonts w:ascii="Arial" w:hAnsi="Arial" w:cs="Arial"/>
        </w:rPr>
        <w:t xml:space="preserve">, </w:t>
      </w:r>
      <w:r w:rsidRPr="0097134E">
        <w:rPr>
          <w:rFonts w:ascii="Arial" w:hAnsi="Arial" w:cs="Arial"/>
        </w:rPr>
        <w:t>Bárbara Regina Alvarez</w:t>
      </w:r>
      <w:r w:rsidR="00BB1F25" w:rsidRPr="0097134E">
        <w:rPr>
          <w:rStyle w:val="Refdenotaderodap"/>
          <w:rFonts w:ascii="Arial" w:hAnsi="Arial" w:cs="Arial"/>
        </w:rPr>
        <w:footnoteReference w:id="3"/>
      </w:r>
      <w:r w:rsidR="008A17A6" w:rsidRPr="0097134E">
        <w:rPr>
          <w:rFonts w:ascii="Arial" w:hAnsi="Arial" w:cs="Arial"/>
        </w:rPr>
        <w:t xml:space="preserve">, </w:t>
      </w:r>
    </w:p>
    <w:p w14:paraId="4DFD7C72" w14:textId="55372640" w:rsidR="00042BBA" w:rsidRPr="0097134E" w:rsidRDefault="00042BBA" w:rsidP="007E69A7">
      <w:pPr>
        <w:spacing w:line="276" w:lineRule="auto"/>
        <w:jc w:val="center"/>
        <w:rPr>
          <w:rFonts w:ascii="Arial" w:hAnsi="Arial" w:cs="Arial"/>
        </w:rPr>
      </w:pPr>
      <w:r w:rsidRPr="0097134E">
        <w:rPr>
          <w:rFonts w:ascii="Arial" w:hAnsi="Arial" w:cs="Arial"/>
        </w:rPr>
        <w:t>Kristian Madeira</w:t>
      </w:r>
      <w:r w:rsidR="004F27FE" w:rsidRPr="0097134E">
        <w:rPr>
          <w:rStyle w:val="Refdenotaderodap"/>
          <w:rFonts w:ascii="Arial" w:hAnsi="Arial" w:cs="Arial"/>
        </w:rPr>
        <w:footnoteReference w:id="4"/>
      </w:r>
    </w:p>
    <w:p w14:paraId="61928B79" w14:textId="36087B7B" w:rsidR="00042BBA" w:rsidRPr="0097134E" w:rsidRDefault="00042BBA" w:rsidP="007E69A7">
      <w:pPr>
        <w:spacing w:line="276" w:lineRule="auto"/>
        <w:jc w:val="center"/>
        <w:rPr>
          <w:rFonts w:ascii="Arial" w:hAnsi="Arial" w:cs="Arial"/>
        </w:rPr>
      </w:pPr>
    </w:p>
    <w:p w14:paraId="3CFA55FF" w14:textId="77777777" w:rsidR="008A17A6" w:rsidRPr="0097134E" w:rsidRDefault="008A17A6" w:rsidP="007E69A7">
      <w:pPr>
        <w:spacing w:line="276" w:lineRule="auto"/>
        <w:jc w:val="center"/>
        <w:rPr>
          <w:rFonts w:ascii="Arial" w:hAnsi="Arial" w:cs="Arial"/>
          <w:b/>
          <w:highlight w:val="green"/>
        </w:rPr>
      </w:pPr>
    </w:p>
    <w:p w14:paraId="4FEFB2A6" w14:textId="6E2B8C28" w:rsidR="000C1347" w:rsidRDefault="000C1347" w:rsidP="007E69A7">
      <w:pPr>
        <w:spacing w:line="276" w:lineRule="auto"/>
        <w:jc w:val="center"/>
        <w:rPr>
          <w:rFonts w:ascii="Arial" w:hAnsi="Arial" w:cs="Arial"/>
        </w:rPr>
      </w:pPr>
    </w:p>
    <w:p w14:paraId="17ACC9F4" w14:textId="77777777" w:rsidR="008B2CD8" w:rsidRPr="0097134E" w:rsidRDefault="008B2CD8" w:rsidP="007E69A7">
      <w:pPr>
        <w:spacing w:line="276" w:lineRule="auto"/>
        <w:jc w:val="center"/>
        <w:rPr>
          <w:rFonts w:ascii="Arial" w:hAnsi="Arial" w:cs="Arial"/>
        </w:rPr>
      </w:pPr>
    </w:p>
    <w:p w14:paraId="24F75C51" w14:textId="77777777" w:rsidR="004F27FE" w:rsidRPr="0097134E" w:rsidRDefault="004F27FE" w:rsidP="007E69A7">
      <w:pPr>
        <w:spacing w:line="276" w:lineRule="auto"/>
        <w:jc w:val="center"/>
        <w:rPr>
          <w:rFonts w:ascii="Arial" w:hAnsi="Arial" w:cs="Arial"/>
        </w:rPr>
      </w:pPr>
    </w:p>
    <w:p w14:paraId="4EC4677C" w14:textId="77777777" w:rsidR="007206BA" w:rsidRPr="0097134E" w:rsidRDefault="007206BA" w:rsidP="007E69A7">
      <w:pPr>
        <w:spacing w:line="276" w:lineRule="auto"/>
        <w:jc w:val="both"/>
        <w:rPr>
          <w:rFonts w:ascii="Arial" w:hAnsi="Arial" w:cs="Arial"/>
          <w:b/>
        </w:rPr>
      </w:pPr>
      <w:r w:rsidRPr="0097134E">
        <w:rPr>
          <w:rFonts w:ascii="Arial" w:hAnsi="Arial" w:cs="Arial"/>
          <w:b/>
        </w:rPr>
        <w:t>Vinculação do artigo</w:t>
      </w:r>
    </w:p>
    <w:p w14:paraId="5FC2CF18" w14:textId="64741244" w:rsidR="007206BA" w:rsidRPr="0097134E" w:rsidRDefault="009E3893" w:rsidP="007E69A7">
      <w:pPr>
        <w:spacing w:line="276" w:lineRule="auto"/>
        <w:jc w:val="both"/>
        <w:rPr>
          <w:rFonts w:ascii="Arial" w:hAnsi="Arial" w:cs="Arial"/>
        </w:rPr>
      </w:pPr>
      <w:r w:rsidRPr="0097134E">
        <w:rPr>
          <w:rFonts w:ascii="Arial" w:hAnsi="Arial" w:cs="Arial"/>
        </w:rPr>
        <w:t>Curso de Medicina</w:t>
      </w:r>
      <w:r w:rsidR="007206BA" w:rsidRPr="0097134E">
        <w:rPr>
          <w:rFonts w:ascii="Arial" w:hAnsi="Arial" w:cs="Arial"/>
        </w:rPr>
        <w:t>. Universidade do Extremo Sul Catarinense</w:t>
      </w:r>
      <w:r w:rsidR="008B2CD8">
        <w:rPr>
          <w:rFonts w:ascii="Arial" w:hAnsi="Arial" w:cs="Arial"/>
        </w:rPr>
        <w:t xml:space="preserve"> – UNESC – </w:t>
      </w:r>
      <w:r w:rsidR="007206BA" w:rsidRPr="0097134E">
        <w:rPr>
          <w:rFonts w:ascii="Arial" w:hAnsi="Arial" w:cs="Arial"/>
        </w:rPr>
        <w:t>Criciúma</w:t>
      </w:r>
      <w:r w:rsidR="008B2CD8">
        <w:rPr>
          <w:rFonts w:ascii="Arial" w:hAnsi="Arial" w:cs="Arial"/>
        </w:rPr>
        <w:t xml:space="preserve"> </w:t>
      </w:r>
      <w:r w:rsidR="007206BA" w:rsidRPr="0097134E">
        <w:rPr>
          <w:rFonts w:ascii="Arial" w:hAnsi="Arial" w:cs="Arial"/>
        </w:rPr>
        <w:t>-</w:t>
      </w:r>
      <w:r w:rsidR="008B2CD8">
        <w:rPr>
          <w:rFonts w:ascii="Arial" w:hAnsi="Arial" w:cs="Arial"/>
        </w:rPr>
        <w:t xml:space="preserve"> </w:t>
      </w:r>
      <w:r w:rsidR="007206BA" w:rsidRPr="0097134E">
        <w:rPr>
          <w:rFonts w:ascii="Arial" w:hAnsi="Arial" w:cs="Arial"/>
        </w:rPr>
        <w:t>SC</w:t>
      </w:r>
    </w:p>
    <w:p w14:paraId="4F8FBDC2" w14:textId="03A565C9" w:rsidR="007E202D" w:rsidRPr="0097134E" w:rsidRDefault="007E202D" w:rsidP="007E69A7">
      <w:pPr>
        <w:spacing w:line="276" w:lineRule="auto"/>
        <w:jc w:val="both"/>
        <w:rPr>
          <w:rFonts w:ascii="Arial" w:hAnsi="Arial" w:cs="Arial"/>
          <w:b/>
        </w:rPr>
      </w:pPr>
    </w:p>
    <w:p w14:paraId="7B3E8358" w14:textId="409D594E" w:rsidR="00BB1F25" w:rsidRPr="0097134E" w:rsidRDefault="00BB1F25" w:rsidP="007E69A7">
      <w:pPr>
        <w:spacing w:line="276" w:lineRule="auto"/>
        <w:jc w:val="both"/>
        <w:rPr>
          <w:rFonts w:ascii="Arial" w:hAnsi="Arial" w:cs="Arial"/>
          <w:b/>
        </w:rPr>
      </w:pPr>
    </w:p>
    <w:p w14:paraId="6F77E2EB" w14:textId="65494C8D" w:rsidR="004F27FE" w:rsidRPr="0097134E" w:rsidRDefault="004F27FE" w:rsidP="007E69A7">
      <w:pPr>
        <w:spacing w:line="276" w:lineRule="auto"/>
        <w:jc w:val="both"/>
        <w:rPr>
          <w:rFonts w:ascii="Arial" w:hAnsi="Arial" w:cs="Arial"/>
          <w:b/>
        </w:rPr>
      </w:pPr>
    </w:p>
    <w:p w14:paraId="586FA6D9" w14:textId="77777777" w:rsidR="007206BA" w:rsidRPr="0097134E" w:rsidRDefault="007206BA" w:rsidP="007E69A7">
      <w:pPr>
        <w:spacing w:line="276" w:lineRule="auto"/>
        <w:jc w:val="both"/>
        <w:rPr>
          <w:rFonts w:ascii="Arial" w:hAnsi="Arial" w:cs="Arial"/>
          <w:b/>
        </w:rPr>
      </w:pPr>
      <w:r w:rsidRPr="0097134E">
        <w:rPr>
          <w:rFonts w:ascii="Arial" w:hAnsi="Arial" w:cs="Arial"/>
          <w:b/>
        </w:rPr>
        <w:t>Endereço para correspondência</w:t>
      </w:r>
    </w:p>
    <w:p w14:paraId="4E60B7D6" w14:textId="4BD88D51" w:rsidR="007206BA" w:rsidRPr="0097134E" w:rsidRDefault="004A5930" w:rsidP="007E69A7">
      <w:pPr>
        <w:spacing w:line="276" w:lineRule="auto"/>
        <w:jc w:val="both"/>
        <w:rPr>
          <w:rFonts w:ascii="Arial" w:hAnsi="Arial" w:cs="Arial"/>
        </w:rPr>
      </w:pPr>
      <w:r w:rsidRPr="0097134E">
        <w:rPr>
          <w:rFonts w:ascii="Arial" w:hAnsi="Arial" w:cs="Arial"/>
        </w:rPr>
        <w:t>R. Abraão Carlos Benneton, n. 189, Bairro Mina Brasil, Criciúma – SC</w:t>
      </w:r>
    </w:p>
    <w:p w14:paraId="25707A17" w14:textId="7921026D" w:rsidR="004A5930" w:rsidRPr="0097134E" w:rsidRDefault="004A5930" w:rsidP="007E69A7">
      <w:pPr>
        <w:spacing w:line="276" w:lineRule="auto"/>
        <w:jc w:val="both"/>
        <w:rPr>
          <w:rFonts w:ascii="Arial" w:hAnsi="Arial" w:cs="Arial"/>
        </w:rPr>
      </w:pPr>
      <w:r w:rsidRPr="0097134E">
        <w:rPr>
          <w:rFonts w:ascii="Arial" w:hAnsi="Arial" w:cs="Arial"/>
        </w:rPr>
        <w:t>CEP – 88811-270</w:t>
      </w:r>
    </w:p>
    <w:p w14:paraId="39D5C460" w14:textId="722D146E" w:rsidR="004A5930" w:rsidRPr="0097134E" w:rsidRDefault="004A5930" w:rsidP="007E69A7">
      <w:pPr>
        <w:spacing w:line="276" w:lineRule="auto"/>
        <w:jc w:val="both"/>
        <w:rPr>
          <w:rFonts w:ascii="Arial" w:hAnsi="Arial" w:cs="Arial"/>
        </w:rPr>
      </w:pPr>
      <w:r w:rsidRPr="0097134E">
        <w:rPr>
          <w:rFonts w:ascii="Arial" w:hAnsi="Arial" w:cs="Arial"/>
        </w:rPr>
        <w:t>Telefone: (48) 9 8802-2631</w:t>
      </w:r>
    </w:p>
    <w:p w14:paraId="74A3E514" w14:textId="17E85161" w:rsidR="007206BA" w:rsidRPr="0097134E" w:rsidRDefault="00D5043D" w:rsidP="007E69A7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hyperlink r:id="rId8" w:history="1">
        <w:r w:rsidR="004A5930" w:rsidRPr="0097134E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Filipe_rs95@hotmail.com</w:t>
        </w:r>
      </w:hyperlink>
    </w:p>
    <w:p w14:paraId="4B6BF402" w14:textId="01FB657C" w:rsidR="004A5930" w:rsidRPr="00024BEA" w:rsidRDefault="00D5043D" w:rsidP="007E69A7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hyperlink r:id="rId9" w:history="1">
        <w:r w:rsidR="008A17A6" w:rsidRPr="00024BEA">
          <w:rPr>
            <w:rStyle w:val="Hyperlink"/>
            <w:rFonts w:ascii="Arial" w:hAnsi="Arial" w:cs="Arial"/>
            <w:color w:val="000000" w:themeColor="text1"/>
            <w:u w:val="none"/>
          </w:rPr>
          <w:t>Franzkneto@hotmail.com</w:t>
        </w:r>
      </w:hyperlink>
    </w:p>
    <w:p w14:paraId="65C215D0" w14:textId="77777777" w:rsidR="008A17A6" w:rsidRPr="0097134E" w:rsidRDefault="008A17A6" w:rsidP="007E69A7">
      <w:pPr>
        <w:spacing w:line="276" w:lineRule="auto"/>
        <w:jc w:val="both"/>
        <w:rPr>
          <w:rFonts w:ascii="Arial" w:hAnsi="Arial" w:cs="Arial"/>
          <w:bCs/>
        </w:rPr>
      </w:pPr>
    </w:p>
    <w:p w14:paraId="6E07D4C7" w14:textId="3F6FBF69" w:rsidR="004B6968" w:rsidRPr="0097134E" w:rsidRDefault="000C1347" w:rsidP="00024BEA">
      <w:pPr>
        <w:spacing w:after="200" w:line="276" w:lineRule="auto"/>
        <w:jc w:val="center"/>
        <w:rPr>
          <w:rFonts w:ascii="Arial" w:hAnsi="Arial" w:cs="Arial"/>
          <w:b/>
        </w:rPr>
      </w:pPr>
      <w:r w:rsidRPr="0097134E">
        <w:rPr>
          <w:rFonts w:ascii="Arial" w:hAnsi="Arial" w:cs="Arial"/>
          <w:b/>
          <w:bCs/>
          <w:color w:val="000000"/>
        </w:rPr>
        <w:br w:type="page"/>
      </w:r>
      <w:r w:rsidR="0097134E" w:rsidRPr="0097134E">
        <w:rPr>
          <w:rFonts w:ascii="Arial" w:hAnsi="Arial" w:cs="Arial"/>
          <w:b/>
        </w:rPr>
        <w:lastRenderedPageBreak/>
        <w:t>RESUMO</w:t>
      </w:r>
    </w:p>
    <w:p w14:paraId="18CDF453" w14:textId="77777777" w:rsidR="00CD5409" w:rsidRPr="0097134E" w:rsidRDefault="00CD5409" w:rsidP="007E69A7">
      <w:pPr>
        <w:spacing w:line="276" w:lineRule="auto"/>
        <w:jc w:val="center"/>
        <w:rPr>
          <w:rFonts w:ascii="Arial" w:hAnsi="Arial" w:cs="Arial"/>
          <w:b/>
        </w:rPr>
      </w:pPr>
    </w:p>
    <w:p w14:paraId="2A0C892E" w14:textId="7A582047" w:rsidR="004B6968" w:rsidRPr="0097134E" w:rsidRDefault="00C00695" w:rsidP="007E69A7">
      <w:pPr>
        <w:pStyle w:val="Corpodetexto2"/>
        <w:spacing w:line="276" w:lineRule="auto"/>
        <w:jc w:val="both"/>
        <w:rPr>
          <w:rFonts w:ascii="Arial" w:hAnsi="Arial" w:cs="Arial"/>
          <w:b w:val="0"/>
          <w:szCs w:val="24"/>
        </w:rPr>
      </w:pPr>
      <w:r w:rsidRPr="0097134E">
        <w:rPr>
          <w:rFonts w:ascii="Arial" w:hAnsi="Arial" w:cs="Arial"/>
          <w:b w:val="0"/>
          <w:bCs w:val="0"/>
          <w:color w:val="auto"/>
          <w:szCs w:val="24"/>
        </w:rPr>
        <w:t xml:space="preserve">Introdução: </w:t>
      </w:r>
      <w:r w:rsidR="00DD1F72" w:rsidRPr="0097134E">
        <w:rPr>
          <w:rFonts w:ascii="Arial" w:hAnsi="Arial" w:cs="Arial"/>
          <w:b w:val="0"/>
          <w:bCs w:val="0"/>
          <w:color w:val="auto"/>
          <w:szCs w:val="24"/>
        </w:rPr>
        <w:t>Os índices de sobrepeso e obesidade vêm crescendo mundialmente</w:t>
      </w:r>
      <w:r w:rsidR="00042BBA" w:rsidRPr="0097134E">
        <w:rPr>
          <w:rFonts w:ascii="Arial" w:hAnsi="Arial" w:cs="Arial"/>
          <w:b w:val="0"/>
          <w:bCs w:val="0"/>
          <w:color w:val="auto"/>
          <w:szCs w:val="24"/>
        </w:rPr>
        <w:t>.</w:t>
      </w:r>
      <w:r w:rsidR="00DD1F72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</w:t>
      </w:r>
      <w:r w:rsidR="00042BBA" w:rsidRPr="0097134E">
        <w:rPr>
          <w:rFonts w:ascii="Arial" w:hAnsi="Arial" w:cs="Arial"/>
          <w:b w:val="0"/>
          <w:bCs w:val="0"/>
          <w:color w:val="auto"/>
          <w:szCs w:val="24"/>
        </w:rPr>
        <w:t>N</w:t>
      </w:r>
      <w:r w:rsidR="00DD1F72" w:rsidRPr="0097134E">
        <w:rPr>
          <w:rFonts w:ascii="Arial" w:hAnsi="Arial" w:cs="Arial"/>
          <w:b w:val="0"/>
          <w:bCs w:val="0"/>
          <w:color w:val="auto"/>
          <w:szCs w:val="24"/>
        </w:rPr>
        <w:t>a fase da adolescência tais alterações estão associadas a um maior risco de desenvolvimento de doenças crônicas, como as cardiovasculares na vida adulta. Levando em consideração a Lei de Diretrizes e Bases da Educação Nacional (LDB), que permitiu a implementação de escola de tempo integral, e a falta de estudos avaliando a interferência desse aumento de carga horári</w:t>
      </w:r>
      <w:r w:rsidR="00042BBA" w:rsidRPr="0097134E">
        <w:rPr>
          <w:rFonts w:ascii="Arial" w:hAnsi="Arial" w:cs="Arial"/>
          <w:b w:val="0"/>
          <w:bCs w:val="0"/>
          <w:color w:val="auto"/>
          <w:szCs w:val="24"/>
        </w:rPr>
        <w:t>a</w:t>
      </w:r>
      <w:r w:rsidR="00DD1F72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na saúde no adolescente, o presente estudo foi criado.</w:t>
      </w:r>
      <w:r w:rsidR="00EF3455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Objetivo: comparar as avaliações antropométricas entre os indivíduos do ensino médio que frequentam o período integral com os que frequentam o período noturno. Métodos:</w:t>
      </w:r>
      <w:r w:rsidR="00DD1F72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</w:t>
      </w:r>
      <w:r w:rsidR="00DD1F72" w:rsidRPr="0097134E">
        <w:rPr>
          <w:rFonts w:ascii="Arial" w:hAnsi="Arial" w:cs="Arial"/>
          <w:b w:val="0"/>
          <w:szCs w:val="24"/>
        </w:rPr>
        <w:t>Foi realizado um estudo observacional, retrospectivo, com coleta de dados secundários e de abordagem quantitativa numa escola pública localizada na região sul de Santa Catarina, avaliando cerca de 1</w:t>
      </w:r>
      <w:r w:rsidR="0022062E" w:rsidRPr="0097134E">
        <w:rPr>
          <w:rFonts w:ascii="Arial" w:hAnsi="Arial" w:cs="Arial"/>
          <w:b w:val="0"/>
          <w:szCs w:val="24"/>
        </w:rPr>
        <w:t>94</w:t>
      </w:r>
      <w:r w:rsidR="00DD1F72" w:rsidRPr="0097134E">
        <w:rPr>
          <w:rFonts w:ascii="Arial" w:hAnsi="Arial" w:cs="Arial"/>
          <w:b w:val="0"/>
          <w:szCs w:val="24"/>
        </w:rPr>
        <w:t xml:space="preserve"> alunos que cursaram o ensino médio no ano de 2018</w:t>
      </w:r>
      <w:r w:rsidRPr="0097134E">
        <w:rPr>
          <w:rFonts w:ascii="Arial" w:hAnsi="Arial" w:cs="Arial"/>
          <w:b w:val="0"/>
          <w:szCs w:val="24"/>
        </w:rPr>
        <w:t>.</w:t>
      </w:r>
      <w:r w:rsidR="00EF3455" w:rsidRPr="0097134E">
        <w:rPr>
          <w:rFonts w:ascii="Arial" w:hAnsi="Arial" w:cs="Arial"/>
          <w:b w:val="0"/>
          <w:szCs w:val="24"/>
        </w:rPr>
        <w:t xml:space="preserve"> Resultados:</w:t>
      </w:r>
      <w:r w:rsidRPr="0097134E">
        <w:rPr>
          <w:rFonts w:ascii="Arial" w:hAnsi="Arial" w:cs="Arial"/>
          <w:b w:val="0"/>
          <w:szCs w:val="24"/>
        </w:rPr>
        <w:t xml:space="preserve"> </w:t>
      </w:r>
      <w:r w:rsidR="00EF3455" w:rsidRPr="0097134E">
        <w:rPr>
          <w:rFonts w:ascii="Arial" w:hAnsi="Arial" w:cs="Arial"/>
          <w:b w:val="0"/>
          <w:szCs w:val="24"/>
        </w:rPr>
        <w:t xml:space="preserve"> Foram analisados 194 indiv</w:t>
      </w:r>
      <w:r w:rsidR="00042BBA" w:rsidRPr="0097134E">
        <w:rPr>
          <w:rFonts w:ascii="Arial" w:hAnsi="Arial" w:cs="Arial"/>
          <w:b w:val="0"/>
          <w:szCs w:val="24"/>
        </w:rPr>
        <w:t>í</w:t>
      </w:r>
      <w:r w:rsidR="00EF3455" w:rsidRPr="0097134E">
        <w:rPr>
          <w:rFonts w:ascii="Arial" w:hAnsi="Arial" w:cs="Arial"/>
          <w:b w:val="0"/>
          <w:szCs w:val="24"/>
        </w:rPr>
        <w:t>duos, dentre eles 100 frequentadores do per</w:t>
      </w:r>
      <w:r w:rsidR="00042BBA" w:rsidRPr="0097134E">
        <w:rPr>
          <w:rFonts w:ascii="Arial" w:hAnsi="Arial" w:cs="Arial"/>
          <w:b w:val="0"/>
          <w:szCs w:val="24"/>
        </w:rPr>
        <w:t>í</w:t>
      </w:r>
      <w:r w:rsidR="00EF3455" w:rsidRPr="0097134E">
        <w:rPr>
          <w:rFonts w:ascii="Arial" w:hAnsi="Arial" w:cs="Arial"/>
          <w:b w:val="0"/>
          <w:szCs w:val="24"/>
        </w:rPr>
        <w:t>odo integral e 94 do período noturno, comprovando uma maior m</w:t>
      </w:r>
      <w:r w:rsidR="00042BBA" w:rsidRPr="0097134E">
        <w:rPr>
          <w:rFonts w:ascii="Arial" w:hAnsi="Arial" w:cs="Arial"/>
          <w:b w:val="0"/>
          <w:szCs w:val="24"/>
        </w:rPr>
        <w:t>é</w:t>
      </w:r>
      <w:r w:rsidR="00EF3455" w:rsidRPr="0097134E">
        <w:rPr>
          <w:rFonts w:ascii="Arial" w:hAnsi="Arial" w:cs="Arial"/>
          <w:b w:val="0"/>
          <w:szCs w:val="24"/>
        </w:rPr>
        <w:t xml:space="preserve">dia de peso no sexo feminino do </w:t>
      </w:r>
      <w:r w:rsidR="00042BBA" w:rsidRPr="0097134E">
        <w:rPr>
          <w:rFonts w:ascii="Arial" w:hAnsi="Arial" w:cs="Arial"/>
          <w:b w:val="0"/>
          <w:szCs w:val="24"/>
        </w:rPr>
        <w:t>terceiro</w:t>
      </w:r>
      <w:r w:rsidR="00EF3455" w:rsidRPr="0097134E">
        <w:rPr>
          <w:rFonts w:ascii="Arial" w:hAnsi="Arial" w:cs="Arial"/>
          <w:b w:val="0"/>
          <w:szCs w:val="24"/>
        </w:rPr>
        <w:t xml:space="preserve"> ano do ensino médio no período integral. Conclusão: </w:t>
      </w:r>
      <w:r w:rsidR="0022062E" w:rsidRPr="0097134E">
        <w:rPr>
          <w:rFonts w:ascii="Arial" w:hAnsi="Arial" w:cs="Arial"/>
          <w:b w:val="0"/>
          <w:szCs w:val="24"/>
        </w:rPr>
        <w:t xml:space="preserve">Ainda </w:t>
      </w:r>
      <w:r w:rsidR="00EF3455" w:rsidRPr="0097134E">
        <w:rPr>
          <w:rFonts w:ascii="Arial" w:hAnsi="Arial" w:cs="Arial"/>
          <w:b w:val="0"/>
          <w:szCs w:val="24"/>
        </w:rPr>
        <w:t xml:space="preserve">que os demais parâmetros avaliados não revelaram significância estatística, </w:t>
      </w:r>
      <w:r w:rsidR="0022062E" w:rsidRPr="0097134E">
        <w:rPr>
          <w:rFonts w:ascii="Arial" w:hAnsi="Arial" w:cs="Arial"/>
          <w:b w:val="0"/>
          <w:szCs w:val="24"/>
        </w:rPr>
        <w:t>eles</w:t>
      </w:r>
      <w:r w:rsidR="00EF3455" w:rsidRPr="0097134E">
        <w:rPr>
          <w:rFonts w:ascii="Arial" w:hAnsi="Arial" w:cs="Arial"/>
          <w:b w:val="0"/>
          <w:szCs w:val="24"/>
        </w:rPr>
        <w:t xml:space="preserve"> </w:t>
      </w:r>
      <w:r w:rsidR="0022062E" w:rsidRPr="0097134E">
        <w:rPr>
          <w:rFonts w:ascii="Arial" w:hAnsi="Arial" w:cs="Arial"/>
          <w:b w:val="0"/>
          <w:szCs w:val="24"/>
        </w:rPr>
        <w:t>mostraram</w:t>
      </w:r>
      <w:r w:rsidR="00EF3455" w:rsidRPr="0097134E">
        <w:rPr>
          <w:rFonts w:ascii="Arial" w:hAnsi="Arial" w:cs="Arial"/>
          <w:b w:val="0"/>
          <w:szCs w:val="24"/>
        </w:rPr>
        <w:t xml:space="preserve"> certa diferença entre os indivíduos q</w:t>
      </w:r>
      <w:r w:rsidR="000C336C" w:rsidRPr="0097134E">
        <w:rPr>
          <w:rFonts w:ascii="Arial" w:hAnsi="Arial" w:cs="Arial"/>
          <w:b w:val="0"/>
          <w:szCs w:val="24"/>
        </w:rPr>
        <w:t>ue frequentavam o período integral</w:t>
      </w:r>
      <w:r w:rsidR="00EF3455" w:rsidRPr="0097134E">
        <w:rPr>
          <w:rFonts w:ascii="Arial" w:hAnsi="Arial" w:cs="Arial"/>
          <w:b w:val="0"/>
          <w:szCs w:val="24"/>
        </w:rPr>
        <w:t xml:space="preserve"> se comparados aos indivíduos que frequentavam o período noturno</w:t>
      </w:r>
      <w:r w:rsidR="0022062E" w:rsidRPr="0097134E">
        <w:rPr>
          <w:rFonts w:ascii="Arial" w:hAnsi="Arial" w:cs="Arial"/>
          <w:b w:val="0"/>
          <w:szCs w:val="24"/>
        </w:rPr>
        <w:t xml:space="preserve">. Talvez um estudo que consiga analizar uma maior quantidade de pessoas possa ser capaz de </w:t>
      </w:r>
      <w:r w:rsidR="00ED59EC" w:rsidRPr="0097134E">
        <w:rPr>
          <w:rFonts w:ascii="Arial" w:hAnsi="Arial" w:cs="Arial"/>
          <w:b w:val="0"/>
          <w:szCs w:val="24"/>
        </w:rPr>
        <w:t>revelar novas evid</w:t>
      </w:r>
      <w:r w:rsidR="00042BBA" w:rsidRPr="0097134E">
        <w:rPr>
          <w:rFonts w:ascii="Arial" w:hAnsi="Arial" w:cs="Arial"/>
          <w:b w:val="0"/>
          <w:szCs w:val="24"/>
        </w:rPr>
        <w:t>ê</w:t>
      </w:r>
      <w:r w:rsidR="00ED59EC" w:rsidRPr="0097134E">
        <w:rPr>
          <w:rFonts w:ascii="Arial" w:hAnsi="Arial" w:cs="Arial"/>
          <w:b w:val="0"/>
          <w:szCs w:val="24"/>
        </w:rPr>
        <w:t>ncias</w:t>
      </w:r>
      <w:r w:rsidRPr="0097134E">
        <w:rPr>
          <w:rFonts w:ascii="Arial" w:hAnsi="Arial" w:cs="Arial"/>
          <w:b w:val="0"/>
          <w:szCs w:val="24"/>
        </w:rPr>
        <w:t>.</w:t>
      </w:r>
    </w:p>
    <w:p w14:paraId="1A8C336E" w14:textId="77777777" w:rsidR="00C00695" w:rsidRPr="0097134E" w:rsidRDefault="00C00695" w:rsidP="007E69A7">
      <w:pPr>
        <w:spacing w:line="276" w:lineRule="auto"/>
        <w:jc w:val="both"/>
        <w:rPr>
          <w:rFonts w:ascii="Arial" w:hAnsi="Arial" w:cs="Arial"/>
        </w:rPr>
      </w:pPr>
    </w:p>
    <w:p w14:paraId="3DF76714" w14:textId="2F4238DD" w:rsidR="00C67A7E" w:rsidRPr="0097134E" w:rsidRDefault="00C00695" w:rsidP="007E69A7">
      <w:pPr>
        <w:spacing w:line="276" w:lineRule="auto"/>
        <w:jc w:val="both"/>
        <w:rPr>
          <w:rFonts w:ascii="Arial" w:hAnsi="Arial" w:cs="Arial"/>
          <w:bCs/>
        </w:rPr>
      </w:pPr>
      <w:r w:rsidRPr="0097134E">
        <w:rPr>
          <w:rFonts w:ascii="Arial" w:hAnsi="Arial" w:cs="Arial"/>
          <w:b/>
        </w:rPr>
        <w:t>Palavras chave</w:t>
      </w:r>
      <w:r w:rsidR="004B6968" w:rsidRPr="0097134E">
        <w:rPr>
          <w:rFonts w:ascii="Arial" w:hAnsi="Arial" w:cs="Arial"/>
          <w:b/>
        </w:rPr>
        <w:t>:</w:t>
      </w:r>
      <w:r w:rsidRPr="0097134E">
        <w:rPr>
          <w:rFonts w:ascii="Arial" w:hAnsi="Arial" w:cs="Arial"/>
          <w:bCs/>
        </w:rPr>
        <w:t xml:space="preserve"> Adolescente; Obesidade pediátrica; Antropometria; Indice de massa corporal; Estado nutricional</w:t>
      </w:r>
    </w:p>
    <w:p w14:paraId="27617FEC" w14:textId="77777777" w:rsidR="00042BBA" w:rsidRPr="0097134E" w:rsidRDefault="00042BBA" w:rsidP="004B6968">
      <w:pPr>
        <w:spacing w:line="480" w:lineRule="auto"/>
        <w:jc w:val="both"/>
        <w:rPr>
          <w:rFonts w:ascii="Arial" w:hAnsi="Arial" w:cs="Arial"/>
          <w:bCs/>
          <w:highlight w:val="darkYellow"/>
        </w:rPr>
      </w:pPr>
    </w:p>
    <w:p w14:paraId="45BFA905" w14:textId="5CFB0D76" w:rsidR="00042BBA" w:rsidRPr="0097134E" w:rsidRDefault="0097134E" w:rsidP="007E69A7">
      <w:pPr>
        <w:jc w:val="center"/>
        <w:rPr>
          <w:rFonts w:ascii="Arial" w:hAnsi="Arial" w:cs="Arial"/>
          <w:b/>
          <w:bCs/>
          <w:lang w:val="en-US"/>
        </w:rPr>
      </w:pPr>
      <w:r w:rsidRPr="0097134E">
        <w:rPr>
          <w:rFonts w:ascii="Arial" w:hAnsi="Arial" w:cs="Arial"/>
          <w:b/>
          <w:bCs/>
          <w:lang w:val="en-US"/>
        </w:rPr>
        <w:t>ABSTRACT</w:t>
      </w:r>
    </w:p>
    <w:p w14:paraId="15261DD5" w14:textId="77777777" w:rsidR="00ED59EC" w:rsidRPr="0097134E" w:rsidRDefault="00ED59EC" w:rsidP="007E69A7">
      <w:pPr>
        <w:jc w:val="both"/>
        <w:rPr>
          <w:rFonts w:ascii="Arial" w:hAnsi="Arial" w:cs="Arial"/>
          <w:bCs/>
          <w:lang w:val="en-US"/>
        </w:rPr>
      </w:pPr>
    </w:p>
    <w:p w14:paraId="27F1C92B" w14:textId="73706385" w:rsidR="00C710AE" w:rsidRPr="0097134E" w:rsidRDefault="00ED59EC" w:rsidP="007E69A7">
      <w:pPr>
        <w:spacing w:line="276" w:lineRule="auto"/>
        <w:jc w:val="both"/>
        <w:rPr>
          <w:rFonts w:ascii="Arial" w:hAnsi="Arial" w:cs="Arial"/>
          <w:lang w:val="en-US"/>
        </w:rPr>
      </w:pPr>
      <w:r w:rsidRPr="0097134E">
        <w:rPr>
          <w:rFonts w:ascii="Arial" w:hAnsi="Arial" w:cs="Arial"/>
          <w:bCs/>
          <w:lang w:val="en-US"/>
        </w:rPr>
        <w:t>Introduction:</w:t>
      </w:r>
      <w:r w:rsidRPr="0097134E">
        <w:rPr>
          <w:rFonts w:ascii="Arial" w:hAnsi="Arial" w:cs="Arial"/>
          <w:lang w:val="en-US"/>
        </w:rPr>
        <w:t xml:space="preserve"> Overweight and obesity rates are increasing worldwide. In adolescence, such changes are associated with a higher risk of developing chronic diseases, such as cardiovascular diseases in adulthood. Taking into account the National Education Guidelines and Bases Act (LDB), which allowed for the implementation of a full-time school, and the lack of studies evaluating the interference of this increase in adolescent health, the present study was created. </w:t>
      </w:r>
      <w:r w:rsidRPr="0097134E">
        <w:rPr>
          <w:rFonts w:ascii="Arial" w:hAnsi="Arial" w:cs="Arial"/>
          <w:bCs/>
          <w:lang w:val="en-US"/>
        </w:rPr>
        <w:t>Objectives:</w:t>
      </w:r>
      <w:r w:rsidRPr="0097134E">
        <w:rPr>
          <w:rFonts w:ascii="Arial" w:hAnsi="Arial" w:cs="Arial"/>
          <w:lang w:val="en-US"/>
        </w:rPr>
        <w:t xml:space="preserve"> To compare anthropometric evaluations between high school individuals who attend full time and those who attend night time. </w:t>
      </w:r>
      <w:r w:rsidRPr="0097134E">
        <w:rPr>
          <w:rFonts w:ascii="Arial" w:hAnsi="Arial" w:cs="Arial"/>
          <w:bCs/>
          <w:lang w:val="en-US"/>
        </w:rPr>
        <w:t>Methods:</w:t>
      </w:r>
      <w:r w:rsidRPr="0097134E">
        <w:rPr>
          <w:rFonts w:ascii="Arial" w:hAnsi="Arial" w:cs="Arial"/>
          <w:lang w:val="en-US"/>
        </w:rPr>
        <w:t xml:space="preserve"> A retrospective observational study with secondary data collection and quantitative approach was carried out in a public school located in the southern region of Santa Catarina, evaluating about 194 high school students in 2018. </w:t>
      </w:r>
      <w:r w:rsidRPr="0097134E">
        <w:rPr>
          <w:rFonts w:ascii="Arial" w:hAnsi="Arial" w:cs="Arial"/>
          <w:bCs/>
          <w:lang w:val="en-US"/>
        </w:rPr>
        <w:t>Results:</w:t>
      </w:r>
      <w:r w:rsidRPr="0097134E">
        <w:rPr>
          <w:rFonts w:ascii="Arial" w:hAnsi="Arial" w:cs="Arial"/>
          <w:lang w:val="en-US"/>
        </w:rPr>
        <w:t xml:space="preserve"> A total of 194 individuals were analyzed, including 100 full-time and 94 night-time attendees, proving a higher average weight in females in the third year of high school in full-time. </w:t>
      </w:r>
      <w:r w:rsidRPr="0097134E">
        <w:rPr>
          <w:rFonts w:ascii="Arial" w:hAnsi="Arial" w:cs="Arial"/>
          <w:bCs/>
          <w:lang w:val="en-US"/>
        </w:rPr>
        <w:t>Conclusion:</w:t>
      </w:r>
      <w:r w:rsidRPr="0097134E">
        <w:rPr>
          <w:rFonts w:ascii="Arial" w:hAnsi="Arial" w:cs="Arial"/>
          <w:lang w:val="en-US"/>
        </w:rPr>
        <w:t xml:space="preserve"> Although the other parameters evaluated did not reveal statistical significance, they showed some difference between individuals who attended full time compared to individuals who attended night time. Perhaps a study that can analyze more people may be able to reveal new evidence.</w:t>
      </w:r>
    </w:p>
    <w:p w14:paraId="128DC9B7" w14:textId="77777777" w:rsidR="00042BBA" w:rsidRPr="0097134E" w:rsidRDefault="00042BBA" w:rsidP="007E69A7">
      <w:pPr>
        <w:spacing w:line="276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46C1E9AB" w14:textId="7F8CDB5D" w:rsidR="00ED59EC" w:rsidRPr="0097134E" w:rsidRDefault="00ED59EC" w:rsidP="007E69A7">
      <w:pPr>
        <w:spacing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97134E">
        <w:rPr>
          <w:rFonts w:ascii="Arial" w:hAnsi="Arial" w:cs="Arial"/>
          <w:b/>
          <w:bCs/>
          <w:color w:val="000000" w:themeColor="text1"/>
          <w:lang w:val="en-US"/>
        </w:rPr>
        <w:t>Keywords:</w:t>
      </w:r>
      <w:r w:rsidRPr="0097134E">
        <w:rPr>
          <w:rFonts w:ascii="Arial" w:hAnsi="Arial" w:cs="Arial"/>
          <w:color w:val="000000" w:themeColor="text1"/>
          <w:lang w:val="en-US"/>
        </w:rPr>
        <w:t xml:space="preserve"> Adolescent; Pediatric obesity; Anthropometry; Body mass index; nutritional status</w:t>
      </w:r>
    </w:p>
    <w:p w14:paraId="59C889DA" w14:textId="7D5D4ED4" w:rsidR="00EF6F21" w:rsidRPr="0097134E" w:rsidRDefault="00EF6F21" w:rsidP="007E69A7">
      <w:pPr>
        <w:spacing w:line="276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FA604A9" w14:textId="77777777" w:rsidR="00EF6F21" w:rsidRPr="0097134E" w:rsidRDefault="00EF6F21" w:rsidP="007E69A7">
      <w:pPr>
        <w:spacing w:line="276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57E6F59C" w14:textId="2741C9D1" w:rsidR="0020147A" w:rsidRPr="0097134E" w:rsidRDefault="008C573E" w:rsidP="00D0720E">
      <w:pPr>
        <w:pStyle w:val="Ttulo1"/>
        <w:spacing w:line="480" w:lineRule="auto"/>
        <w:jc w:val="both"/>
        <w:rPr>
          <w:rFonts w:ascii="Arial" w:hAnsi="Arial" w:cs="Arial"/>
        </w:rPr>
      </w:pPr>
      <w:r w:rsidRPr="0097134E">
        <w:rPr>
          <w:rFonts w:ascii="Arial" w:hAnsi="Arial" w:cs="Arial"/>
        </w:rPr>
        <w:t>INTRODUÇÃO</w:t>
      </w:r>
      <w:r w:rsidR="00FF55B5" w:rsidRPr="0097134E">
        <w:rPr>
          <w:rFonts w:ascii="Arial" w:hAnsi="Arial" w:cs="Arial"/>
        </w:rPr>
        <w:t xml:space="preserve"> </w:t>
      </w:r>
    </w:p>
    <w:p w14:paraId="55B9A0D4" w14:textId="77777777" w:rsidR="008C573E" w:rsidRPr="0097134E" w:rsidRDefault="008C573E" w:rsidP="008C573E">
      <w:pPr>
        <w:rPr>
          <w:rFonts w:ascii="Arial" w:hAnsi="Arial" w:cs="Arial"/>
        </w:rPr>
      </w:pPr>
    </w:p>
    <w:p w14:paraId="44895C69" w14:textId="099AC277" w:rsidR="00D159D6" w:rsidRPr="0097134E" w:rsidRDefault="00EE3936" w:rsidP="007E69A7">
      <w:pPr>
        <w:pStyle w:val="Recuodecorpodetexto"/>
        <w:widowControl w:val="0"/>
        <w:spacing w:after="0" w:line="360" w:lineRule="auto"/>
        <w:ind w:left="0" w:firstLine="1134"/>
        <w:jc w:val="both"/>
        <w:rPr>
          <w:rFonts w:ascii="Arial" w:hAnsi="Arial" w:cs="Arial"/>
        </w:rPr>
      </w:pPr>
      <w:r w:rsidRPr="0097134E">
        <w:rPr>
          <w:rFonts w:ascii="Arial" w:hAnsi="Arial" w:cs="Arial"/>
        </w:rPr>
        <w:t>A necessidade de estudos para avaliação do estado nutricional (AEN) vem aumentando em âmbito mundial, principalmente, em crianças e adolescentes devido o aumento de sobrepeso e obesidade nesta população</w:t>
      </w:r>
      <w:r w:rsidR="00EB5A1C" w:rsidRPr="0097134E">
        <w:rPr>
          <w:rFonts w:ascii="Arial" w:hAnsi="Arial" w:cs="Arial"/>
        </w:rPr>
        <w:t xml:space="preserve"> (1).</w:t>
      </w:r>
      <w:r w:rsidRPr="0097134E">
        <w:rPr>
          <w:rFonts w:ascii="Arial" w:hAnsi="Arial" w:cs="Arial"/>
        </w:rPr>
        <w:t xml:space="preserve"> </w:t>
      </w:r>
      <w:r w:rsidR="00D159D6" w:rsidRPr="0097134E">
        <w:rPr>
          <w:rFonts w:ascii="Arial" w:hAnsi="Arial" w:cs="Arial"/>
        </w:rPr>
        <w:t>Os indicadores antropométricos, quando analisados no período de transição da infância para a vida adulta sofre</w:t>
      </w:r>
      <w:r w:rsidR="00C73E38" w:rsidRPr="0097134E">
        <w:rPr>
          <w:rFonts w:ascii="Arial" w:hAnsi="Arial" w:cs="Arial"/>
        </w:rPr>
        <w:t>m</w:t>
      </w:r>
      <w:r w:rsidR="00D159D6" w:rsidRPr="0097134E">
        <w:rPr>
          <w:rFonts w:ascii="Arial" w:hAnsi="Arial" w:cs="Arial"/>
        </w:rPr>
        <w:t xml:space="preserve"> variações ao longo dos anos. O índice de massa corporal (IMC), também conhecido como índice de Quételet, é o indicador mais amplamente utilizado para a AEN e os distúrbios associados</w:t>
      </w:r>
      <w:r w:rsidR="00E85DD6" w:rsidRPr="0097134E">
        <w:rPr>
          <w:rFonts w:ascii="Arial" w:hAnsi="Arial" w:cs="Arial"/>
        </w:rPr>
        <w:t>. Ele</w:t>
      </w:r>
      <w:r w:rsidR="00D159D6" w:rsidRPr="0097134E">
        <w:rPr>
          <w:rFonts w:ascii="Arial" w:hAnsi="Arial" w:cs="Arial"/>
        </w:rPr>
        <w:t xml:space="preserve"> pode ser obtido por meio das medidas de massa e estatura corporal e divisão da primeira em quilogramas pelo quadrado da segunda em metros</w:t>
      </w:r>
      <w:r w:rsidR="00EB5A1C" w:rsidRPr="0097134E">
        <w:rPr>
          <w:rFonts w:ascii="Arial" w:hAnsi="Arial" w:cs="Arial"/>
        </w:rPr>
        <w:t xml:space="preserve"> (2,3).</w:t>
      </w:r>
    </w:p>
    <w:p w14:paraId="7B510399" w14:textId="0E2FD867" w:rsidR="00D159D6" w:rsidRPr="0097134E" w:rsidRDefault="00114DAA" w:rsidP="007E69A7">
      <w:pPr>
        <w:pStyle w:val="Recuodecorpodetexto"/>
        <w:widowControl w:val="0"/>
        <w:spacing w:after="0" w:line="360" w:lineRule="auto"/>
        <w:ind w:left="0" w:firstLine="1134"/>
        <w:jc w:val="both"/>
        <w:rPr>
          <w:rFonts w:ascii="Arial" w:hAnsi="Arial" w:cs="Arial"/>
        </w:rPr>
      </w:pPr>
      <w:r w:rsidRPr="0097134E">
        <w:rPr>
          <w:rFonts w:ascii="Arial" w:hAnsi="Arial" w:cs="Arial"/>
        </w:rPr>
        <w:t>Como indicador de risco para desenvolvimento de doenças crônicas</w:t>
      </w:r>
      <w:r w:rsidR="00B945EA" w:rsidRPr="0097134E">
        <w:rPr>
          <w:rFonts w:ascii="Arial" w:hAnsi="Arial" w:cs="Arial"/>
        </w:rPr>
        <w:t xml:space="preserve"> a vida adulta</w:t>
      </w:r>
      <w:r w:rsidRPr="0097134E">
        <w:rPr>
          <w:rFonts w:ascii="Arial" w:hAnsi="Arial" w:cs="Arial"/>
        </w:rPr>
        <w:t xml:space="preserve">, como hipertensão, o IMC tem relação direta com a gordura corporal (GC) e ainda pode ser utilizado para avaliar a estimativa da porcentagem de gordura corporal </w:t>
      </w:r>
      <w:r w:rsidR="00D159D6" w:rsidRPr="0097134E">
        <w:rPr>
          <w:rFonts w:ascii="Arial" w:hAnsi="Arial" w:cs="Arial"/>
        </w:rPr>
        <w:t>(%GC)</w:t>
      </w:r>
      <w:r w:rsidR="00612C4F" w:rsidRPr="0097134E">
        <w:rPr>
          <w:rFonts w:ascii="Arial" w:hAnsi="Arial" w:cs="Arial"/>
        </w:rPr>
        <w:t xml:space="preserve">. (4). </w:t>
      </w:r>
      <w:r w:rsidR="00D159D6" w:rsidRPr="0097134E">
        <w:rPr>
          <w:rFonts w:ascii="Arial" w:hAnsi="Arial" w:cs="Arial"/>
        </w:rPr>
        <w:t>A</w:t>
      </w:r>
      <w:r w:rsidR="00B945EA" w:rsidRPr="0097134E">
        <w:rPr>
          <w:rFonts w:ascii="Arial" w:hAnsi="Arial" w:cs="Arial"/>
        </w:rPr>
        <w:t>inda como medida para auxilio na determinação do estado nutricional,  a</w:t>
      </w:r>
      <w:r w:rsidR="00D159D6" w:rsidRPr="0097134E">
        <w:rPr>
          <w:rFonts w:ascii="Arial" w:hAnsi="Arial" w:cs="Arial"/>
        </w:rPr>
        <w:t>s dobras cutâneas são sensíveis à detecção da %GC e o perímetro braquial,</w:t>
      </w:r>
      <w:r w:rsidR="00B945EA" w:rsidRPr="0097134E">
        <w:rPr>
          <w:rFonts w:ascii="Arial" w:hAnsi="Arial" w:cs="Arial"/>
        </w:rPr>
        <w:t xml:space="preserve"> que</w:t>
      </w:r>
      <w:r w:rsidR="00D159D6" w:rsidRPr="0097134E">
        <w:rPr>
          <w:rFonts w:ascii="Arial" w:hAnsi="Arial" w:cs="Arial"/>
        </w:rPr>
        <w:t xml:space="preserve"> responde pelo perímetro muscular braquial quando associado à dobra tricipital</w:t>
      </w:r>
      <w:r w:rsidR="00B945EA" w:rsidRPr="0097134E">
        <w:rPr>
          <w:rFonts w:ascii="Arial" w:hAnsi="Arial" w:cs="Arial"/>
        </w:rPr>
        <w:t>, são sensiveis para</w:t>
      </w:r>
      <w:r w:rsidR="00D159D6" w:rsidRPr="0097134E">
        <w:rPr>
          <w:rFonts w:ascii="Arial" w:hAnsi="Arial" w:cs="Arial"/>
        </w:rPr>
        <w:t xml:space="preserve"> distribuição da GC</w:t>
      </w:r>
      <w:r w:rsidR="00FB0203" w:rsidRPr="0097134E">
        <w:rPr>
          <w:rFonts w:ascii="Arial" w:hAnsi="Arial" w:cs="Arial"/>
        </w:rPr>
        <w:t xml:space="preserve"> (5)</w:t>
      </w:r>
      <w:r w:rsidR="00B945EA" w:rsidRPr="0097134E">
        <w:rPr>
          <w:rFonts w:ascii="Arial" w:hAnsi="Arial" w:cs="Arial"/>
        </w:rPr>
        <w:t xml:space="preserve">. </w:t>
      </w:r>
      <w:r w:rsidR="00E85DD6" w:rsidRPr="0097134E">
        <w:rPr>
          <w:rFonts w:ascii="Arial" w:hAnsi="Arial" w:cs="Arial"/>
        </w:rPr>
        <w:t>N</w:t>
      </w:r>
      <w:r w:rsidR="00B945EA" w:rsidRPr="0097134E">
        <w:rPr>
          <w:rFonts w:ascii="Arial" w:hAnsi="Arial" w:cs="Arial"/>
        </w:rPr>
        <w:t>esta fase da vida as</w:t>
      </w:r>
      <w:r w:rsidR="00D159D6" w:rsidRPr="0097134E">
        <w:rPr>
          <w:rFonts w:ascii="Arial" w:hAnsi="Arial" w:cs="Arial"/>
        </w:rPr>
        <w:t xml:space="preserve"> alterações</w:t>
      </w:r>
      <w:r w:rsidR="00B945EA" w:rsidRPr="0097134E">
        <w:rPr>
          <w:rFonts w:ascii="Arial" w:hAnsi="Arial" w:cs="Arial"/>
        </w:rPr>
        <w:t xml:space="preserve"> no estado nutricional, </w:t>
      </w:r>
      <w:r w:rsidR="00D159D6" w:rsidRPr="0097134E">
        <w:rPr>
          <w:rFonts w:ascii="Arial" w:hAnsi="Arial" w:cs="Arial"/>
        </w:rPr>
        <w:t>est</w:t>
      </w:r>
      <w:r w:rsidR="00B945EA" w:rsidRPr="0097134E">
        <w:rPr>
          <w:rFonts w:ascii="Arial" w:hAnsi="Arial" w:cs="Arial"/>
        </w:rPr>
        <w:t>ão</w:t>
      </w:r>
      <w:r w:rsidR="00D159D6" w:rsidRPr="0097134E">
        <w:rPr>
          <w:rFonts w:ascii="Arial" w:hAnsi="Arial" w:cs="Arial"/>
        </w:rPr>
        <w:t xml:space="preserve"> relacionad</w:t>
      </w:r>
      <w:r w:rsidR="00B945EA" w:rsidRPr="0097134E">
        <w:rPr>
          <w:rFonts w:ascii="Arial" w:hAnsi="Arial" w:cs="Arial"/>
        </w:rPr>
        <w:t>as</w:t>
      </w:r>
      <w:r w:rsidR="00D159D6" w:rsidRPr="0097134E">
        <w:rPr>
          <w:rFonts w:ascii="Arial" w:hAnsi="Arial" w:cs="Arial"/>
        </w:rPr>
        <w:t xml:space="preserve"> </w:t>
      </w:r>
      <w:r w:rsidR="00B945EA" w:rsidRPr="0097134E">
        <w:rPr>
          <w:rFonts w:ascii="Arial" w:hAnsi="Arial" w:cs="Arial"/>
        </w:rPr>
        <w:t>principalmente</w:t>
      </w:r>
      <w:r w:rsidR="00D159D6" w:rsidRPr="0097134E">
        <w:rPr>
          <w:rFonts w:ascii="Arial" w:hAnsi="Arial" w:cs="Arial"/>
        </w:rPr>
        <w:t xml:space="preserve"> com o aumento da ingesta de produtos industrializados e o sedentarismo</w:t>
      </w:r>
      <w:r w:rsidR="003718AA" w:rsidRPr="0097134E">
        <w:rPr>
          <w:rFonts w:ascii="Arial" w:hAnsi="Arial" w:cs="Arial"/>
        </w:rPr>
        <w:t xml:space="preserve"> (3</w:t>
      </w:r>
      <w:r w:rsidR="00FB0203" w:rsidRPr="0097134E">
        <w:rPr>
          <w:rFonts w:ascii="Arial" w:hAnsi="Arial" w:cs="Arial"/>
        </w:rPr>
        <w:t>,6</w:t>
      </w:r>
      <w:r w:rsidR="00F1689A" w:rsidRPr="0097134E">
        <w:rPr>
          <w:rFonts w:ascii="Arial" w:hAnsi="Arial" w:cs="Arial"/>
        </w:rPr>
        <w:t>)</w:t>
      </w:r>
      <w:r w:rsidR="00FB0203" w:rsidRPr="0097134E">
        <w:rPr>
          <w:rFonts w:ascii="Arial" w:hAnsi="Arial" w:cs="Arial"/>
          <w:color w:val="222222"/>
          <w:shd w:val="clear" w:color="auto" w:fill="FFFFFF"/>
        </w:rPr>
        <w:t>.</w:t>
      </w:r>
    </w:p>
    <w:p w14:paraId="6DB9D3EE" w14:textId="5334E1CC" w:rsidR="00E7207E" w:rsidRPr="0097134E" w:rsidRDefault="00E7207E" w:rsidP="007E69A7">
      <w:pPr>
        <w:pStyle w:val="Recuodecorpodetexto"/>
        <w:widowControl w:val="0"/>
        <w:spacing w:after="0" w:line="360" w:lineRule="auto"/>
        <w:ind w:left="0" w:firstLine="1134"/>
        <w:jc w:val="both"/>
        <w:rPr>
          <w:rFonts w:ascii="Arial" w:hAnsi="Arial" w:cs="Arial"/>
        </w:rPr>
      </w:pPr>
      <w:r w:rsidRPr="0097134E">
        <w:rPr>
          <w:rFonts w:ascii="Arial" w:hAnsi="Arial" w:cs="Arial"/>
        </w:rPr>
        <w:t>No Brasil uma das metas do Plano Nacional de Educação, Lei 13.005/2014</w:t>
      </w:r>
      <w:r w:rsidR="001C5D59" w:rsidRPr="0097134E">
        <w:rPr>
          <w:rFonts w:ascii="Arial" w:hAnsi="Arial" w:cs="Arial"/>
        </w:rPr>
        <w:t>, é oferecer educação em tempo integral em, no mínimo, 50% (cinquenta por cento) das escolas públicas, de forma a atender, pelo menos, 25% (vinte e cinco por cento) dos alunos da educação básica. N</w:t>
      </w:r>
      <w:r w:rsidRPr="0097134E">
        <w:rPr>
          <w:rFonts w:ascii="Arial" w:hAnsi="Arial" w:cs="Arial"/>
        </w:rPr>
        <w:t xml:space="preserve">o </w:t>
      </w:r>
      <w:r w:rsidR="00E85DD6" w:rsidRPr="0097134E">
        <w:rPr>
          <w:rFonts w:ascii="Arial" w:hAnsi="Arial" w:cs="Arial"/>
        </w:rPr>
        <w:t>ú</w:t>
      </w:r>
      <w:r w:rsidRPr="0097134E">
        <w:rPr>
          <w:rFonts w:ascii="Arial" w:hAnsi="Arial" w:cs="Arial"/>
        </w:rPr>
        <w:t>ltimo censo escolar o percentual de matrículas do ensino médio em tempo integral passou de 8,4% em 2017 para 10,3% em 2018, nas escolas públicas</w:t>
      </w:r>
      <w:r w:rsidR="00FB0203" w:rsidRPr="0097134E">
        <w:rPr>
          <w:rFonts w:ascii="Arial" w:hAnsi="Arial" w:cs="Arial"/>
        </w:rPr>
        <w:t xml:space="preserve"> (7)</w:t>
      </w:r>
      <w:r w:rsidRPr="0097134E">
        <w:rPr>
          <w:rFonts w:ascii="Arial" w:hAnsi="Arial" w:cs="Arial"/>
        </w:rPr>
        <w:t>.</w:t>
      </w:r>
      <w:r w:rsidR="001C5D59" w:rsidRPr="0097134E">
        <w:rPr>
          <w:rFonts w:ascii="Arial" w:hAnsi="Arial" w:cs="Arial"/>
        </w:rPr>
        <w:t xml:space="preserve"> </w:t>
      </w:r>
    </w:p>
    <w:p w14:paraId="4FAC60D4" w14:textId="7EFD7D4E" w:rsidR="00A923BD" w:rsidRPr="0097134E" w:rsidRDefault="00D159D6" w:rsidP="007E69A7">
      <w:pPr>
        <w:pStyle w:val="Recuodecorpodetexto"/>
        <w:widowControl w:val="0"/>
        <w:spacing w:after="0" w:line="360" w:lineRule="auto"/>
        <w:ind w:left="0" w:firstLine="1134"/>
        <w:jc w:val="both"/>
        <w:rPr>
          <w:rFonts w:ascii="Arial" w:hAnsi="Arial" w:cs="Arial"/>
        </w:rPr>
      </w:pPr>
      <w:r w:rsidRPr="0097134E">
        <w:rPr>
          <w:rFonts w:ascii="Arial" w:hAnsi="Arial" w:cs="Arial"/>
        </w:rPr>
        <w:t>Neste contexto, o estudo das variáveis antropométricas é de relevante contribuição para promover ações futuras na sociedade que visem à melhora da qualidade de vida e a redução dos índices de obesidade e suas complicações associadas.</w:t>
      </w:r>
      <w:r w:rsidR="00C43ADE" w:rsidRPr="0097134E">
        <w:rPr>
          <w:rFonts w:ascii="Arial" w:hAnsi="Arial" w:cs="Arial"/>
        </w:rPr>
        <w:t xml:space="preserve"> Portanto, o objetivo do presente estudo foi comparar os resultados da avaliação antropométrica de alunos que cursam ensino médio integral e ensino médio regular em uma escola do Sul de Santa Catarina.</w:t>
      </w:r>
    </w:p>
    <w:p w14:paraId="5DBD10EC" w14:textId="77777777" w:rsidR="00EA00A8" w:rsidRPr="0097134E" w:rsidRDefault="00EA00A8" w:rsidP="007E69A7">
      <w:pPr>
        <w:pStyle w:val="Recuodecorpodetexto"/>
        <w:widowControl w:val="0"/>
        <w:spacing w:after="0" w:line="360" w:lineRule="auto"/>
        <w:ind w:left="0" w:firstLine="1134"/>
        <w:jc w:val="both"/>
        <w:rPr>
          <w:rFonts w:ascii="Arial" w:hAnsi="Arial" w:cs="Arial"/>
        </w:rPr>
      </w:pPr>
    </w:p>
    <w:p w14:paraId="2413B406" w14:textId="04C3B121" w:rsidR="008C573E" w:rsidRPr="0097134E" w:rsidRDefault="008C573E" w:rsidP="007E69A7">
      <w:pPr>
        <w:spacing w:line="360" w:lineRule="auto"/>
        <w:jc w:val="both"/>
        <w:rPr>
          <w:rFonts w:ascii="Arial" w:hAnsi="Arial" w:cs="Arial"/>
          <w:b/>
        </w:rPr>
      </w:pPr>
      <w:r w:rsidRPr="0097134E">
        <w:rPr>
          <w:rFonts w:ascii="Arial" w:hAnsi="Arial" w:cs="Arial"/>
          <w:b/>
        </w:rPr>
        <w:t>MÉTODOS</w:t>
      </w:r>
    </w:p>
    <w:p w14:paraId="626F0292" w14:textId="77777777" w:rsidR="00CD5409" w:rsidRPr="0097134E" w:rsidRDefault="00CD5409" w:rsidP="007E69A7">
      <w:pPr>
        <w:spacing w:line="360" w:lineRule="auto"/>
        <w:jc w:val="both"/>
        <w:rPr>
          <w:rFonts w:ascii="Arial" w:hAnsi="Arial" w:cs="Arial"/>
          <w:b/>
        </w:rPr>
      </w:pPr>
    </w:p>
    <w:p w14:paraId="1D318A12" w14:textId="146DBFE8" w:rsidR="00D0720E" w:rsidRPr="0097134E" w:rsidRDefault="00A923BD" w:rsidP="007E69A7">
      <w:pPr>
        <w:pStyle w:val="Recuodecorpodetexto"/>
        <w:widowControl w:val="0"/>
        <w:spacing w:after="0" w:line="360" w:lineRule="auto"/>
        <w:ind w:left="0" w:firstLine="1134"/>
        <w:jc w:val="both"/>
        <w:rPr>
          <w:rFonts w:ascii="Arial" w:hAnsi="Arial" w:cs="Arial"/>
          <w:bCs/>
        </w:rPr>
      </w:pPr>
      <w:r w:rsidRPr="0097134E">
        <w:rPr>
          <w:rFonts w:ascii="Arial" w:hAnsi="Arial" w:cs="Arial"/>
          <w:bCs/>
        </w:rPr>
        <w:t>O presente estudo só foi iniciado após a aprovação do Comitê de Ética em Pesquisa e Humanos da Universidade do Extremo Sul Catarinense</w:t>
      </w:r>
      <w:r w:rsidR="001D4B8F" w:rsidRPr="0097134E">
        <w:rPr>
          <w:rFonts w:ascii="Arial" w:hAnsi="Arial" w:cs="Arial"/>
          <w:bCs/>
        </w:rPr>
        <w:t xml:space="preserve">, sob o parecer número </w:t>
      </w:r>
      <w:r w:rsidR="000851AF" w:rsidRPr="000851AF">
        <w:rPr>
          <w:rFonts w:ascii="Arial" w:hAnsi="Arial" w:cs="Arial"/>
          <w:bCs/>
        </w:rPr>
        <w:t>3.164.134</w:t>
      </w:r>
      <w:r w:rsidR="001D4B8F" w:rsidRPr="0097134E">
        <w:rPr>
          <w:rFonts w:ascii="Arial" w:hAnsi="Arial" w:cs="Arial"/>
          <w:bCs/>
        </w:rPr>
        <w:t xml:space="preserve">. </w:t>
      </w:r>
      <w:r w:rsidR="00DA1104" w:rsidRPr="0097134E">
        <w:rPr>
          <w:rFonts w:ascii="Arial" w:hAnsi="Arial" w:cs="Arial"/>
        </w:rPr>
        <w:t xml:space="preserve">Trata-se de </w:t>
      </w:r>
      <w:r w:rsidR="00EE3936" w:rsidRPr="0097134E">
        <w:rPr>
          <w:rFonts w:ascii="Arial" w:hAnsi="Arial" w:cs="Arial"/>
        </w:rPr>
        <w:t xml:space="preserve">um estudo </w:t>
      </w:r>
      <w:r w:rsidR="001D4B8F" w:rsidRPr="0097134E">
        <w:rPr>
          <w:rFonts w:ascii="Arial" w:hAnsi="Arial" w:cs="Arial"/>
        </w:rPr>
        <w:t>do tipo transversal, retrospectivo, com coleta de dados secundários e de abordagem quantitativa.</w:t>
      </w:r>
    </w:p>
    <w:p w14:paraId="27907584" w14:textId="35EEE8EC" w:rsidR="00BA73C7" w:rsidRPr="0097134E" w:rsidRDefault="00BA73C7" w:rsidP="007E69A7">
      <w:pPr>
        <w:pStyle w:val="Recuodecorpodetexto"/>
        <w:widowControl w:val="0"/>
        <w:spacing w:after="0" w:line="360" w:lineRule="auto"/>
        <w:ind w:left="0" w:firstLine="1134"/>
        <w:jc w:val="both"/>
        <w:rPr>
          <w:rFonts w:ascii="Arial" w:hAnsi="Arial" w:cs="Arial"/>
          <w:bCs/>
        </w:rPr>
      </w:pPr>
      <w:r w:rsidRPr="0097134E">
        <w:rPr>
          <w:rFonts w:ascii="Arial" w:hAnsi="Arial" w:cs="Arial"/>
          <w:bCs/>
        </w:rPr>
        <w:t>Os dados foram coletados em 2019 em uma escola na cidade de Urussanga</w:t>
      </w:r>
      <w:r w:rsidR="006270FC" w:rsidRPr="0097134E">
        <w:rPr>
          <w:rFonts w:ascii="Arial" w:hAnsi="Arial" w:cs="Arial"/>
          <w:bCs/>
        </w:rPr>
        <w:t>/SC</w:t>
      </w:r>
      <w:r w:rsidRPr="0097134E">
        <w:rPr>
          <w:rFonts w:ascii="Arial" w:hAnsi="Arial" w:cs="Arial"/>
          <w:bCs/>
        </w:rPr>
        <w:t>.</w:t>
      </w:r>
      <w:r w:rsidR="006270FC" w:rsidRPr="0097134E">
        <w:rPr>
          <w:rFonts w:ascii="Arial" w:hAnsi="Arial" w:cs="Arial"/>
          <w:bCs/>
        </w:rPr>
        <w:t xml:space="preserve"> </w:t>
      </w:r>
      <w:r w:rsidRPr="0097134E">
        <w:rPr>
          <w:rFonts w:ascii="Arial" w:hAnsi="Arial" w:cs="Arial"/>
          <w:bCs/>
        </w:rPr>
        <w:t>O tempo de coleta foi de um dia, durante as aulas de educação física.</w:t>
      </w:r>
      <w:r w:rsidR="006270FC" w:rsidRPr="0097134E">
        <w:rPr>
          <w:rFonts w:ascii="Arial" w:hAnsi="Arial" w:cs="Arial"/>
          <w:bCs/>
        </w:rPr>
        <w:t xml:space="preserve"> </w:t>
      </w:r>
      <w:r w:rsidRPr="0097134E">
        <w:rPr>
          <w:rFonts w:ascii="Arial" w:hAnsi="Arial" w:cs="Arial"/>
          <w:bCs/>
        </w:rPr>
        <w:t>As medidas antropométricas foram obtidas na sala de avaliação física da escola pública pesquisada. Todos os alunos das turmas selecionadas que estavam presentes no dia combinado foram ava</w:t>
      </w:r>
      <w:r w:rsidR="008C573E" w:rsidRPr="0097134E">
        <w:rPr>
          <w:rFonts w:ascii="Arial" w:hAnsi="Arial" w:cs="Arial"/>
          <w:bCs/>
        </w:rPr>
        <w:t xml:space="preserve">liados </w:t>
      </w:r>
      <w:r w:rsidRPr="0097134E">
        <w:rPr>
          <w:rFonts w:ascii="Arial" w:hAnsi="Arial" w:cs="Arial"/>
          <w:bCs/>
        </w:rPr>
        <w:t>e não foram constatados indivíduos maiores de 17 anos</w:t>
      </w:r>
      <w:r w:rsidR="008C573E" w:rsidRPr="0097134E">
        <w:rPr>
          <w:rFonts w:ascii="Arial" w:hAnsi="Arial" w:cs="Arial"/>
          <w:bCs/>
        </w:rPr>
        <w:t>,</w:t>
      </w:r>
      <w:r w:rsidRPr="0097134E">
        <w:rPr>
          <w:rFonts w:ascii="Arial" w:hAnsi="Arial" w:cs="Arial"/>
          <w:bCs/>
        </w:rPr>
        <w:t xml:space="preserve"> levando em consideração a data de nascimento disponibilizada na ficha escolar, sendo assim não houve exclusões na coleta. Após a verificação dos critérios de inclusão a amostra totalizou 194 casos. </w:t>
      </w:r>
    </w:p>
    <w:p w14:paraId="6BF91095" w14:textId="012EBE19" w:rsidR="00BA73C7" w:rsidRPr="0097134E" w:rsidRDefault="00BA73C7" w:rsidP="007E69A7">
      <w:pPr>
        <w:pStyle w:val="Recuodecorpodetexto"/>
        <w:widowControl w:val="0"/>
        <w:spacing w:after="0" w:line="360" w:lineRule="auto"/>
        <w:ind w:left="0" w:firstLine="1134"/>
        <w:jc w:val="both"/>
        <w:rPr>
          <w:rFonts w:ascii="Arial" w:hAnsi="Arial" w:cs="Arial"/>
          <w:bCs/>
        </w:rPr>
      </w:pPr>
      <w:r w:rsidRPr="0097134E">
        <w:rPr>
          <w:rFonts w:ascii="Arial" w:hAnsi="Arial" w:cs="Arial"/>
          <w:bCs/>
        </w:rPr>
        <w:t>Os procedimentos antropométricos utilizados na pesquisa seguiram a padronização proposta por Petroski</w:t>
      </w:r>
      <w:r w:rsidR="00FB0203" w:rsidRPr="0097134E">
        <w:rPr>
          <w:rFonts w:ascii="Arial" w:hAnsi="Arial" w:cs="Arial"/>
          <w:bCs/>
        </w:rPr>
        <w:t>, (2003), (8)</w:t>
      </w:r>
      <w:r w:rsidRPr="0097134E">
        <w:rPr>
          <w:rFonts w:ascii="Arial" w:hAnsi="Arial" w:cs="Arial"/>
          <w:bCs/>
        </w:rPr>
        <w:t>. A massa corporal foi obtida uma única vez, utilizando-se balança antropométrica mecânica de braço de metal (Welmy) com precisão de 100 gramas com os escolares usando o mínimo de roupa possível. A estatura foi obtida por meio do estadiômetro Welmy com escala numérica em centímetros, com graduação precisão de 1cm.</w:t>
      </w:r>
    </w:p>
    <w:p w14:paraId="4CFE16D8" w14:textId="77777777" w:rsidR="00BA73C7" w:rsidRPr="0097134E" w:rsidRDefault="00BA73C7" w:rsidP="007E69A7">
      <w:pPr>
        <w:pStyle w:val="Recuodecorpodetexto"/>
        <w:widowControl w:val="0"/>
        <w:spacing w:after="0" w:line="360" w:lineRule="auto"/>
        <w:ind w:left="0" w:firstLine="1134"/>
        <w:jc w:val="both"/>
        <w:rPr>
          <w:rFonts w:ascii="Arial" w:hAnsi="Arial" w:cs="Arial"/>
          <w:bCs/>
        </w:rPr>
      </w:pPr>
      <w:r w:rsidRPr="0097134E">
        <w:rPr>
          <w:rFonts w:ascii="Arial" w:hAnsi="Arial" w:cs="Arial"/>
          <w:bCs/>
        </w:rPr>
        <w:t>Para a classificação do estado nutricional dos adolescentes, foram adotadas as curvas de referência da Organização Mundial de Saúde (OMS), utilizando como índice o IMC-para-idade, segundo sexo. Os pontos de corte adotados foram: escore-Z &lt; -3 (muito baixo peso); escore-Z ≥ -3 e &lt; -2 (baixo peso); escore-Z ≥ -2 e ≤ 1 (eutrofia); escore-Z &gt; 1 (sobrepeso) e ≤ 2; escore-Z &gt; 2 (obesidade).</w:t>
      </w:r>
    </w:p>
    <w:p w14:paraId="457D1142" w14:textId="296A8951" w:rsidR="00D0720E" w:rsidRPr="0097134E" w:rsidRDefault="00BA73C7" w:rsidP="007E69A7">
      <w:pPr>
        <w:pStyle w:val="Recuodecorpodetexto"/>
        <w:widowControl w:val="0"/>
        <w:spacing w:after="0" w:line="360" w:lineRule="auto"/>
        <w:ind w:left="0" w:firstLine="1134"/>
        <w:jc w:val="both"/>
        <w:rPr>
          <w:rFonts w:ascii="Arial" w:hAnsi="Arial" w:cs="Arial"/>
          <w:bCs/>
        </w:rPr>
      </w:pPr>
      <w:r w:rsidRPr="0097134E">
        <w:rPr>
          <w:rFonts w:ascii="Arial" w:hAnsi="Arial" w:cs="Arial"/>
          <w:bCs/>
        </w:rPr>
        <w:t>Conforme protocolo proposto por Slaughte</w:t>
      </w:r>
      <w:r w:rsidR="00D0720E" w:rsidRPr="0097134E">
        <w:rPr>
          <w:rFonts w:ascii="Arial" w:hAnsi="Arial" w:cs="Arial"/>
          <w:bCs/>
        </w:rPr>
        <w:t>r</w:t>
      </w:r>
      <w:r w:rsidR="00FB0203" w:rsidRPr="0097134E">
        <w:rPr>
          <w:rFonts w:ascii="Arial" w:hAnsi="Arial" w:cs="Arial"/>
          <w:bCs/>
        </w:rPr>
        <w:t>,</w:t>
      </w:r>
      <w:r w:rsidRPr="0097134E">
        <w:rPr>
          <w:rFonts w:ascii="Arial" w:hAnsi="Arial" w:cs="Arial"/>
          <w:bCs/>
        </w:rPr>
        <w:t xml:space="preserve"> </w:t>
      </w:r>
      <w:r w:rsidR="00FB0203" w:rsidRPr="0097134E">
        <w:rPr>
          <w:rFonts w:ascii="Arial" w:hAnsi="Arial" w:cs="Arial"/>
          <w:bCs/>
        </w:rPr>
        <w:t xml:space="preserve">(1988) </w:t>
      </w:r>
      <w:r w:rsidRPr="0097134E">
        <w:rPr>
          <w:rFonts w:ascii="Arial" w:hAnsi="Arial" w:cs="Arial"/>
          <w:bCs/>
        </w:rPr>
        <w:t>e Guedes</w:t>
      </w:r>
      <w:r w:rsidR="00FB0203" w:rsidRPr="0097134E">
        <w:rPr>
          <w:rFonts w:ascii="Arial" w:hAnsi="Arial" w:cs="Arial"/>
          <w:bCs/>
        </w:rPr>
        <w:t xml:space="preserve">, (1998) (9,10). </w:t>
      </w:r>
      <w:r w:rsidRPr="0097134E">
        <w:rPr>
          <w:rFonts w:ascii="Arial" w:hAnsi="Arial" w:cs="Arial"/>
          <w:bCs/>
        </w:rPr>
        <w:t>para crianças e adolescentes na faixa etária entre 7 e 18 anos, é recomendado que se realize a avaliação de duas dobras cutâneas, a subescapular e a referente ao tríceps. Para a medição das dobras cutâneas subescapular e triciptal, utilizou-se o adipômetro Cescorf, com precisão de 0,1 milímetros (mm). Foram realizadas três medições no lado direito do corpo para cada uma das dobras cutâneas, sendo utilizada a média entre as três medidas. A dobra cutânea triciptal também foi aferida no ponto médio do braço e a dobra cutânea subescapular foi pinçada abaixo do ângulo inferior da escápula direita, aproximadamente a 45° do plano horizontal.</w:t>
      </w:r>
    </w:p>
    <w:p w14:paraId="251D402A" w14:textId="7722AB42" w:rsidR="00BA73C7" w:rsidRPr="0097134E" w:rsidRDefault="00BA73C7" w:rsidP="007E69A7">
      <w:pPr>
        <w:pStyle w:val="Recuodecorpodetexto"/>
        <w:widowControl w:val="0"/>
        <w:spacing w:after="0" w:line="360" w:lineRule="auto"/>
        <w:ind w:left="0" w:firstLine="1134"/>
        <w:jc w:val="both"/>
        <w:rPr>
          <w:rFonts w:ascii="Arial" w:hAnsi="Arial" w:cs="Arial"/>
          <w:bCs/>
        </w:rPr>
      </w:pPr>
      <w:r w:rsidRPr="0097134E">
        <w:rPr>
          <w:rFonts w:ascii="Arial" w:hAnsi="Arial" w:cs="Arial"/>
          <w:bCs/>
        </w:rPr>
        <w:t>Para os indivíduos de cor branca do sexo masculino, o percentual de gordura foi calculado conforme as fases pré-púbere, púbere e pós-púbere, respectivamente, pelas fórmulas 1,21 (S) - 0,008 (S)² - 1,7; 1,21 (S) - 0,008 (S)² - 3,4 e 1,21 (S) - 0,008 (S)² - 5,5, em que “S” refere-se a somatória das dobras cutâneas subscapular e triciptal (</w:t>
      </w:r>
      <w:r w:rsidR="00FB0203" w:rsidRPr="0097134E">
        <w:rPr>
          <w:rFonts w:ascii="Arial" w:hAnsi="Arial" w:cs="Arial"/>
          <w:shd w:val="clear" w:color="auto" w:fill="FFFFFF"/>
        </w:rPr>
        <w:t>9</w:t>
      </w:r>
      <w:r w:rsidR="00D0720E" w:rsidRPr="0097134E">
        <w:rPr>
          <w:rFonts w:ascii="Arial" w:hAnsi="Arial" w:cs="Arial"/>
          <w:shd w:val="clear" w:color="auto" w:fill="FFFFFF"/>
        </w:rPr>
        <w:t>)</w:t>
      </w:r>
      <w:r w:rsidRPr="0097134E">
        <w:rPr>
          <w:rFonts w:ascii="Arial" w:hAnsi="Arial" w:cs="Arial"/>
          <w:bCs/>
        </w:rPr>
        <w:t xml:space="preserve">. </w:t>
      </w:r>
    </w:p>
    <w:p w14:paraId="43C30CE0" w14:textId="0FD64BE9" w:rsidR="00BA73C7" w:rsidRPr="0097134E" w:rsidRDefault="00BA73C7" w:rsidP="007E69A7">
      <w:pPr>
        <w:pStyle w:val="Recuodecorpodetexto"/>
        <w:widowControl w:val="0"/>
        <w:spacing w:after="0" w:line="360" w:lineRule="auto"/>
        <w:ind w:left="0" w:firstLine="1134"/>
        <w:jc w:val="both"/>
        <w:rPr>
          <w:rFonts w:ascii="Arial" w:hAnsi="Arial" w:cs="Arial"/>
          <w:bCs/>
        </w:rPr>
      </w:pPr>
      <w:r w:rsidRPr="0097134E">
        <w:rPr>
          <w:rFonts w:ascii="Arial" w:hAnsi="Arial" w:cs="Arial"/>
          <w:bCs/>
        </w:rPr>
        <w:t xml:space="preserve"> Para os indivíduos negros do sexo masculino, o percentual de gordura foi calculado conforme as fases pré-púbere, púbere e pós-púbere, respectivamente, pelas fórmulas, 21 (S) - 0,008 (S)² - 3,5; 1,21 (S) - 0,008 (S)² - 5,2 e 1,21 (S) - 0,008 (S)² - 6,8. Para os indivíduos do sexo feminino de qualquer raça e maturidade o percentual de gordura foi calculado por meio da seguinte fórmula, 1,33 (S) - 0,013 (S)² - 6,8 </w:t>
      </w:r>
      <w:r w:rsidR="00D0720E" w:rsidRPr="0097134E">
        <w:rPr>
          <w:rFonts w:ascii="Arial" w:hAnsi="Arial" w:cs="Arial"/>
          <w:bCs/>
        </w:rPr>
        <w:t>(</w:t>
      </w:r>
      <w:r w:rsidR="00FB0203" w:rsidRPr="0097134E">
        <w:rPr>
          <w:rFonts w:ascii="Arial" w:hAnsi="Arial" w:cs="Arial"/>
          <w:shd w:val="clear" w:color="auto" w:fill="FFFFFF"/>
        </w:rPr>
        <w:t>9</w:t>
      </w:r>
      <w:r w:rsidR="00D0720E" w:rsidRPr="0097134E">
        <w:rPr>
          <w:rFonts w:ascii="Arial" w:hAnsi="Arial" w:cs="Arial"/>
          <w:shd w:val="clear" w:color="auto" w:fill="FFFFFF"/>
        </w:rPr>
        <w:t>)</w:t>
      </w:r>
      <w:r w:rsidR="00D0720E" w:rsidRPr="0097134E">
        <w:rPr>
          <w:rFonts w:ascii="Arial" w:hAnsi="Arial" w:cs="Arial"/>
          <w:bCs/>
        </w:rPr>
        <w:t xml:space="preserve">. </w:t>
      </w:r>
      <w:r w:rsidRPr="0097134E">
        <w:rPr>
          <w:rFonts w:ascii="Arial" w:hAnsi="Arial" w:cs="Arial"/>
          <w:bCs/>
        </w:rPr>
        <w:t xml:space="preserve"> Nos casos em que “S” foi maior que 35mm, foi utilizada para o cálculo do percentual de gordura uma única equação para cada sexo e para qualquer raça e nível de maturidade, sendo 0,783 (S)² +1,6 para os indivíduos do sexo masculino e 0,546 (S)² +9,7 para os indivíduos do sexo feminino </w:t>
      </w:r>
      <w:r w:rsidR="00D0720E" w:rsidRPr="0097134E">
        <w:rPr>
          <w:rFonts w:ascii="Arial" w:hAnsi="Arial" w:cs="Arial"/>
          <w:bCs/>
        </w:rPr>
        <w:t>(</w:t>
      </w:r>
      <w:r w:rsidR="00FB0203" w:rsidRPr="0097134E">
        <w:rPr>
          <w:rFonts w:ascii="Arial" w:hAnsi="Arial" w:cs="Arial"/>
          <w:shd w:val="clear" w:color="auto" w:fill="FFFFFF"/>
        </w:rPr>
        <w:t>9</w:t>
      </w:r>
      <w:r w:rsidR="00D0720E" w:rsidRPr="0097134E">
        <w:rPr>
          <w:rFonts w:ascii="Arial" w:hAnsi="Arial" w:cs="Arial"/>
          <w:shd w:val="clear" w:color="auto" w:fill="FFFFFF"/>
        </w:rPr>
        <w:t>)</w:t>
      </w:r>
      <w:r w:rsidR="00D0720E" w:rsidRPr="0097134E">
        <w:rPr>
          <w:rFonts w:ascii="Arial" w:hAnsi="Arial" w:cs="Arial"/>
          <w:bCs/>
        </w:rPr>
        <w:t>.</w:t>
      </w:r>
    </w:p>
    <w:p w14:paraId="76A17459" w14:textId="25C267D3" w:rsidR="0045100B" w:rsidRPr="0097134E" w:rsidRDefault="0045100B" w:rsidP="007E69A7">
      <w:pPr>
        <w:pStyle w:val="Recuodecorpodetexto"/>
        <w:widowControl w:val="0"/>
        <w:spacing w:after="0" w:line="360" w:lineRule="auto"/>
        <w:ind w:left="0" w:firstLine="1134"/>
        <w:jc w:val="both"/>
        <w:rPr>
          <w:rFonts w:ascii="Arial" w:hAnsi="Arial" w:cs="Arial"/>
          <w:bCs/>
          <w:color w:val="FF0000"/>
        </w:rPr>
      </w:pPr>
      <w:r w:rsidRPr="0097134E">
        <w:rPr>
          <w:rFonts w:ascii="Arial" w:hAnsi="Arial" w:cs="Arial"/>
          <w:bCs/>
        </w:rPr>
        <w:t xml:space="preserve">Os dados coletados foram organizados e analisados com auxílio do </w:t>
      </w:r>
      <w:r w:rsidRPr="0097134E">
        <w:rPr>
          <w:rFonts w:ascii="Arial" w:hAnsi="Arial" w:cs="Arial"/>
          <w:bCs/>
          <w:i/>
        </w:rPr>
        <w:t>software IBM Statistical Package for the Social Sciences</w:t>
      </w:r>
      <w:r w:rsidRPr="0097134E">
        <w:rPr>
          <w:rFonts w:ascii="Arial" w:hAnsi="Arial" w:cs="Arial"/>
          <w:bCs/>
        </w:rPr>
        <w:t xml:space="preserve"> (SPSS) versão 23.0. As variáveis quantitativas foram expressas por meio de média e desvio padrão. As variáveis qualitativas foram expressas por meio de frequência e porcentagem.</w:t>
      </w:r>
      <w:r w:rsidR="00A923BD" w:rsidRPr="0097134E">
        <w:rPr>
          <w:rFonts w:ascii="Arial" w:hAnsi="Arial" w:cs="Arial"/>
          <w:bCs/>
        </w:rPr>
        <w:t xml:space="preserve"> </w:t>
      </w:r>
      <w:r w:rsidRPr="0097134E">
        <w:rPr>
          <w:rFonts w:ascii="Arial" w:hAnsi="Arial" w:cs="Arial"/>
          <w:bCs/>
        </w:rPr>
        <w:t>As análises estatísticas inferenciais foram feitas com um nível de significância α = 0,05, isto é, 95% de confiança. As investigações quanto a normalidade e a homogeneidade das variâncias das variáveis quantitativas foram realizadas por meio dos testes de Shapiro-Wilk e Levene, respectivamente.</w:t>
      </w:r>
      <w:r w:rsidR="00A923BD" w:rsidRPr="0097134E">
        <w:rPr>
          <w:rFonts w:ascii="Arial" w:hAnsi="Arial" w:cs="Arial"/>
          <w:bCs/>
        </w:rPr>
        <w:t xml:space="preserve"> </w:t>
      </w:r>
      <w:r w:rsidRPr="0097134E">
        <w:rPr>
          <w:rFonts w:ascii="Arial" w:hAnsi="Arial" w:cs="Arial"/>
          <w:bCs/>
        </w:rPr>
        <w:t>A comparação das médias das variáveis quantitativas entre os grupos diurno e noturno foi feita por meio da aplicação dos testes t de Student e U de Mann-Whitney.</w:t>
      </w:r>
      <w:r w:rsidR="00A923BD" w:rsidRPr="0097134E">
        <w:rPr>
          <w:rFonts w:ascii="Arial" w:hAnsi="Arial" w:cs="Arial"/>
          <w:bCs/>
        </w:rPr>
        <w:t xml:space="preserve"> </w:t>
      </w:r>
      <w:r w:rsidRPr="0097134E">
        <w:rPr>
          <w:rFonts w:ascii="Arial" w:hAnsi="Arial" w:cs="Arial"/>
          <w:bCs/>
        </w:rPr>
        <w:t>A associação entre o grupo diurno ou noturno e o IMC foi investigada por meio da aplicação do teste Razão de verossimilhança</w:t>
      </w:r>
      <w:r w:rsidRPr="0097134E">
        <w:rPr>
          <w:rFonts w:ascii="Arial" w:hAnsi="Arial" w:cs="Arial"/>
          <w:bCs/>
          <w:color w:val="FF0000"/>
        </w:rPr>
        <w:t>.</w:t>
      </w:r>
    </w:p>
    <w:p w14:paraId="6F5B8291" w14:textId="77777777" w:rsidR="00EF6F21" w:rsidRPr="00024BEA" w:rsidRDefault="00EF6F21" w:rsidP="007E69A7">
      <w:pPr>
        <w:rPr>
          <w:rFonts w:ascii="Arial" w:hAnsi="Arial" w:cs="Arial"/>
        </w:rPr>
      </w:pPr>
    </w:p>
    <w:p w14:paraId="00136FDE" w14:textId="7B815CCC" w:rsidR="006A5704" w:rsidRPr="0097134E" w:rsidRDefault="008C573E" w:rsidP="007E69A7">
      <w:pPr>
        <w:pStyle w:val="Ttulo2"/>
        <w:rPr>
          <w:rFonts w:ascii="Arial" w:hAnsi="Arial" w:cs="Arial"/>
        </w:rPr>
      </w:pPr>
      <w:r w:rsidRPr="0097134E">
        <w:rPr>
          <w:rFonts w:ascii="Arial" w:hAnsi="Arial" w:cs="Arial"/>
        </w:rPr>
        <w:t>RESULTADOS</w:t>
      </w:r>
    </w:p>
    <w:p w14:paraId="0368FF18" w14:textId="77777777" w:rsidR="008C573E" w:rsidRPr="0097134E" w:rsidRDefault="008C573E" w:rsidP="007E69A7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77053BC1" w14:textId="2456FC80" w:rsidR="009F6F4B" w:rsidRPr="0097134E" w:rsidRDefault="009F6F4B" w:rsidP="007E69A7">
      <w:pPr>
        <w:spacing w:line="360" w:lineRule="auto"/>
        <w:ind w:firstLine="1134"/>
        <w:jc w:val="both"/>
        <w:rPr>
          <w:rFonts w:ascii="Arial" w:hAnsi="Arial" w:cs="Arial"/>
        </w:rPr>
      </w:pPr>
      <w:r w:rsidRPr="0097134E">
        <w:rPr>
          <w:rFonts w:ascii="Arial" w:hAnsi="Arial" w:cs="Arial"/>
        </w:rPr>
        <w:t>A população total estudada foi de 194 adolescentes, sendo 52,6% do sexo feminino e 51,5% perten</w:t>
      </w:r>
      <w:r w:rsidR="002D325C" w:rsidRPr="0097134E">
        <w:rPr>
          <w:rFonts w:ascii="Arial" w:hAnsi="Arial" w:cs="Arial"/>
        </w:rPr>
        <w:t>centes</w:t>
      </w:r>
      <w:r w:rsidRPr="0097134E">
        <w:rPr>
          <w:rFonts w:ascii="Arial" w:hAnsi="Arial" w:cs="Arial"/>
        </w:rPr>
        <w:t xml:space="preserve"> ao grupo de ensino regular (noturno). Os grupos foram </w:t>
      </w:r>
      <w:r w:rsidR="002D325C" w:rsidRPr="0097134E">
        <w:rPr>
          <w:rFonts w:ascii="Arial" w:hAnsi="Arial" w:cs="Arial"/>
        </w:rPr>
        <w:t xml:space="preserve">estratificados </w:t>
      </w:r>
      <w:r w:rsidRPr="0097134E">
        <w:rPr>
          <w:rFonts w:ascii="Arial" w:hAnsi="Arial" w:cs="Arial"/>
        </w:rPr>
        <w:t>por ano letivo do ensino médio, pertencendo 67 estudantes ao primeiro ano, 56 ao segundo e 71 ao terceiro, destes, os que estudaram a noite representaram 29,</w:t>
      </w:r>
      <w:r w:rsidR="00EA00A8" w:rsidRPr="0097134E">
        <w:rPr>
          <w:rFonts w:ascii="Arial" w:hAnsi="Arial" w:cs="Arial"/>
        </w:rPr>
        <w:t xml:space="preserve"> </w:t>
      </w:r>
      <w:r w:rsidRPr="0097134E">
        <w:rPr>
          <w:rFonts w:ascii="Arial" w:hAnsi="Arial" w:cs="Arial"/>
        </w:rPr>
        <w:t>21 e 50 indivíduos</w:t>
      </w:r>
      <w:r w:rsidR="00EA00A8" w:rsidRPr="0097134E">
        <w:rPr>
          <w:rFonts w:ascii="Arial" w:hAnsi="Arial" w:cs="Arial"/>
        </w:rPr>
        <w:t>,</w:t>
      </w:r>
      <w:r w:rsidRPr="0097134E">
        <w:rPr>
          <w:rFonts w:ascii="Arial" w:hAnsi="Arial" w:cs="Arial"/>
        </w:rPr>
        <w:t xml:space="preserve"> respectivamente.</w:t>
      </w:r>
    </w:p>
    <w:p w14:paraId="398357CC" w14:textId="688EDBAE" w:rsidR="0018290B" w:rsidRPr="0097134E" w:rsidRDefault="0018290B" w:rsidP="007E69A7">
      <w:pPr>
        <w:spacing w:line="360" w:lineRule="auto"/>
        <w:ind w:firstLine="1134"/>
        <w:jc w:val="both"/>
        <w:rPr>
          <w:rFonts w:ascii="Arial" w:hAnsi="Arial" w:cs="Arial"/>
        </w:rPr>
      </w:pPr>
      <w:r w:rsidRPr="0097134E">
        <w:rPr>
          <w:rFonts w:ascii="Arial" w:hAnsi="Arial" w:cs="Arial"/>
        </w:rPr>
        <w:t>Do total da amostra feminina foram encontradas 19 meninas (18,6%) apresentando</w:t>
      </w:r>
      <w:r w:rsidR="00AA584A" w:rsidRPr="0097134E">
        <w:rPr>
          <w:rFonts w:ascii="Arial" w:hAnsi="Arial" w:cs="Arial"/>
        </w:rPr>
        <w:t xml:space="preserve"> excesso de peso</w:t>
      </w:r>
      <w:r w:rsidRPr="0097134E">
        <w:rPr>
          <w:rFonts w:ascii="Arial" w:hAnsi="Arial" w:cs="Arial"/>
        </w:rPr>
        <w:t>, dentre elas 8 (7,8%) possuíam algum grau de obesidade, sendo semelhantes as quantidades desses indivíduos</w:t>
      </w:r>
      <w:r w:rsidR="00AA584A" w:rsidRPr="0097134E">
        <w:rPr>
          <w:rFonts w:ascii="Arial" w:hAnsi="Arial" w:cs="Arial"/>
        </w:rPr>
        <w:t xml:space="preserve"> distribuidos</w:t>
      </w:r>
      <w:r w:rsidRPr="0097134E">
        <w:rPr>
          <w:rFonts w:ascii="Arial" w:hAnsi="Arial" w:cs="Arial"/>
        </w:rPr>
        <w:t xml:space="preserve"> entre os anos letivos. Apenas três pessoas, aproximadamente 2,9%, eram obesas no ensino integral, quantidade similar aos 3,9% encontrado dentre as que cursavam o ensino regular.  A porcentagem de gordura corporal foi sempre maior no subgrupo de meninas do ensino integral, o mesmo ocorreu com os valores de dobras cutâneas tricipitais e escapulares. Não houve variações consideráveis nas </w:t>
      </w:r>
      <w:r w:rsidR="002D325C" w:rsidRPr="0097134E">
        <w:rPr>
          <w:rFonts w:ascii="Arial" w:hAnsi="Arial" w:cs="Arial"/>
        </w:rPr>
        <w:t xml:space="preserve">estaturas </w:t>
      </w:r>
      <w:r w:rsidRPr="0097134E">
        <w:rPr>
          <w:rFonts w:ascii="Arial" w:hAnsi="Arial" w:cs="Arial"/>
        </w:rPr>
        <w:t>entre as meninas dos três anos letivos</w:t>
      </w:r>
      <w:r w:rsidR="00AA584A" w:rsidRPr="0097134E">
        <w:rPr>
          <w:rFonts w:ascii="Arial" w:hAnsi="Arial" w:cs="Arial"/>
        </w:rPr>
        <w:t>, sendo a m</w:t>
      </w:r>
      <w:r w:rsidR="002D325C" w:rsidRPr="0097134E">
        <w:rPr>
          <w:rFonts w:ascii="Arial" w:hAnsi="Arial" w:cs="Arial"/>
        </w:rPr>
        <w:t>é</w:t>
      </w:r>
      <w:r w:rsidR="00AA584A" w:rsidRPr="0097134E">
        <w:rPr>
          <w:rFonts w:ascii="Arial" w:hAnsi="Arial" w:cs="Arial"/>
        </w:rPr>
        <w:t>dia aproximadamente 1,62cm</w:t>
      </w:r>
      <w:r w:rsidRPr="0097134E">
        <w:rPr>
          <w:rFonts w:ascii="Arial" w:hAnsi="Arial" w:cs="Arial"/>
        </w:rPr>
        <w:t>. A única variável estatisticamente significativa no presente estudo foi o peso entre as meninas do terceiro ano, dentre as que cursavam o ensino integral a média de peso foi de 62,5kg cerca de 6kg a mais do que a média de peso do outro subgrupo.</w:t>
      </w:r>
    </w:p>
    <w:p w14:paraId="418138E9" w14:textId="72754578" w:rsidR="00125A08" w:rsidRPr="0097134E" w:rsidRDefault="0061167C" w:rsidP="007E69A7">
      <w:pPr>
        <w:spacing w:line="360" w:lineRule="auto"/>
        <w:ind w:firstLine="1134"/>
        <w:jc w:val="both"/>
        <w:rPr>
          <w:rFonts w:ascii="Arial" w:hAnsi="Arial" w:cs="Arial"/>
        </w:rPr>
      </w:pPr>
      <w:r w:rsidRPr="0097134E">
        <w:rPr>
          <w:rFonts w:ascii="Arial" w:hAnsi="Arial" w:cs="Arial"/>
        </w:rPr>
        <w:t>Dentre</w:t>
      </w:r>
      <w:r w:rsidR="00125A08" w:rsidRPr="0097134E">
        <w:rPr>
          <w:rFonts w:ascii="Arial" w:hAnsi="Arial" w:cs="Arial"/>
        </w:rPr>
        <w:t xml:space="preserve"> o sexo masculino </w:t>
      </w:r>
      <w:r w:rsidRPr="0097134E">
        <w:rPr>
          <w:rFonts w:ascii="Arial" w:hAnsi="Arial" w:cs="Arial"/>
        </w:rPr>
        <w:t>no primieiro ano do ensino médio foram avaliados 33 estudantes, sendo 19 do ensino integral e 12 do regular. Mesmo que não haja diferenças de significância estatística entre os parâmetros avaliados, not</w:t>
      </w:r>
      <w:r w:rsidR="002D325C" w:rsidRPr="0097134E">
        <w:rPr>
          <w:rFonts w:ascii="Arial" w:hAnsi="Arial" w:cs="Arial"/>
        </w:rPr>
        <w:t>ou-</w:t>
      </w:r>
      <w:r w:rsidRPr="0097134E">
        <w:rPr>
          <w:rFonts w:ascii="Arial" w:hAnsi="Arial" w:cs="Arial"/>
        </w:rPr>
        <w:t>se a presença de 3 alunos</w:t>
      </w:r>
      <w:r w:rsidR="00C06307" w:rsidRPr="0097134E">
        <w:rPr>
          <w:rFonts w:ascii="Arial" w:hAnsi="Arial" w:cs="Arial"/>
        </w:rPr>
        <w:t xml:space="preserve"> (15,8%) </w:t>
      </w:r>
      <w:r w:rsidRPr="0097134E">
        <w:rPr>
          <w:rFonts w:ascii="Arial" w:hAnsi="Arial" w:cs="Arial"/>
        </w:rPr>
        <w:t xml:space="preserve"> do ensino integral na faixa de IMC de pré-obesidade</w:t>
      </w:r>
      <w:r w:rsidR="00C06307" w:rsidRPr="0097134E">
        <w:rPr>
          <w:rFonts w:ascii="Arial" w:hAnsi="Arial" w:cs="Arial"/>
        </w:rPr>
        <w:t>. Já no ensino regular observ</w:t>
      </w:r>
      <w:r w:rsidR="002D325C" w:rsidRPr="0097134E">
        <w:rPr>
          <w:rFonts w:ascii="Arial" w:hAnsi="Arial" w:cs="Arial"/>
        </w:rPr>
        <w:t>ou</w:t>
      </w:r>
      <w:r w:rsidR="00C06307" w:rsidRPr="0097134E">
        <w:rPr>
          <w:rFonts w:ascii="Arial" w:hAnsi="Arial" w:cs="Arial"/>
        </w:rPr>
        <w:t>-se 10 alunos</w:t>
      </w:r>
      <w:r w:rsidR="00691275" w:rsidRPr="0097134E">
        <w:rPr>
          <w:rFonts w:ascii="Arial" w:hAnsi="Arial" w:cs="Arial"/>
        </w:rPr>
        <w:t xml:space="preserve"> (83,3%)</w:t>
      </w:r>
      <w:r w:rsidR="00C06307" w:rsidRPr="0097134E">
        <w:rPr>
          <w:rFonts w:ascii="Arial" w:hAnsi="Arial" w:cs="Arial"/>
        </w:rPr>
        <w:t xml:space="preserve"> no padrão adequado</w:t>
      </w:r>
      <w:r w:rsidR="00691275" w:rsidRPr="0097134E">
        <w:rPr>
          <w:rFonts w:ascii="Arial" w:hAnsi="Arial" w:cs="Arial"/>
        </w:rPr>
        <w:t xml:space="preserve"> de IMC</w:t>
      </w:r>
      <w:r w:rsidR="00BF2958">
        <w:rPr>
          <w:rFonts w:ascii="Arial" w:hAnsi="Arial" w:cs="Arial"/>
        </w:rPr>
        <w:t xml:space="preserve"> e 2 alunos (16,7%) abaixo do peso adequado</w:t>
      </w:r>
      <w:r w:rsidR="00691275" w:rsidRPr="0097134E">
        <w:rPr>
          <w:rFonts w:ascii="Arial" w:hAnsi="Arial" w:cs="Arial"/>
        </w:rPr>
        <w:t>.</w:t>
      </w:r>
      <w:r w:rsidR="00C06307" w:rsidRPr="0097134E">
        <w:rPr>
          <w:rFonts w:ascii="Arial" w:hAnsi="Arial" w:cs="Arial"/>
        </w:rPr>
        <w:t xml:space="preserve">  Sendo assim parâmetros como peso, dobra tricipital e percentual de massa gorda tiveram leve aumento ao comparar ensino integral com regular</w:t>
      </w:r>
      <w:r w:rsidR="00EA00A8" w:rsidRPr="0097134E">
        <w:rPr>
          <w:rFonts w:ascii="Arial" w:hAnsi="Arial" w:cs="Arial"/>
        </w:rPr>
        <w:t xml:space="preserve">; </w:t>
      </w:r>
      <w:r w:rsidR="00CF4635" w:rsidRPr="0097134E">
        <w:rPr>
          <w:rFonts w:ascii="Arial" w:hAnsi="Arial" w:cs="Arial"/>
        </w:rPr>
        <w:t>por</w:t>
      </w:r>
      <w:r w:rsidR="002D325C" w:rsidRPr="0097134E">
        <w:rPr>
          <w:rFonts w:ascii="Arial" w:hAnsi="Arial" w:cs="Arial"/>
        </w:rPr>
        <w:t>é</w:t>
      </w:r>
      <w:r w:rsidR="00CF4635" w:rsidRPr="0097134E">
        <w:rPr>
          <w:rFonts w:ascii="Arial" w:hAnsi="Arial" w:cs="Arial"/>
        </w:rPr>
        <w:t>m</w:t>
      </w:r>
      <w:r w:rsidR="00EA00A8" w:rsidRPr="0097134E">
        <w:rPr>
          <w:rFonts w:ascii="Arial" w:hAnsi="Arial" w:cs="Arial"/>
        </w:rPr>
        <w:t>,</w:t>
      </w:r>
      <w:r w:rsidR="00CF4635" w:rsidRPr="0097134E">
        <w:rPr>
          <w:rFonts w:ascii="Arial" w:hAnsi="Arial" w:cs="Arial"/>
        </w:rPr>
        <w:t xml:space="preserve"> ao avaliar a média </w:t>
      </w:r>
      <w:r w:rsidR="002D325C" w:rsidRPr="0097134E">
        <w:rPr>
          <w:rFonts w:ascii="Arial" w:hAnsi="Arial" w:cs="Arial"/>
        </w:rPr>
        <w:t>da estatura</w:t>
      </w:r>
      <w:r w:rsidR="00CF4635" w:rsidRPr="0097134E">
        <w:rPr>
          <w:rFonts w:ascii="Arial" w:hAnsi="Arial" w:cs="Arial"/>
        </w:rPr>
        <w:t xml:space="preserve"> dos indivíduos not</w:t>
      </w:r>
      <w:r w:rsidR="002D325C" w:rsidRPr="0097134E">
        <w:rPr>
          <w:rFonts w:ascii="Arial" w:hAnsi="Arial" w:cs="Arial"/>
        </w:rPr>
        <w:t>ou-</w:t>
      </w:r>
      <w:r w:rsidR="00CF4635" w:rsidRPr="0097134E">
        <w:rPr>
          <w:rFonts w:ascii="Arial" w:hAnsi="Arial" w:cs="Arial"/>
        </w:rPr>
        <w:t>se que há um leve aumento dos alunos no ensino regular.</w:t>
      </w:r>
    </w:p>
    <w:p w14:paraId="50DF9C72" w14:textId="139928B0" w:rsidR="00691275" w:rsidRPr="0097134E" w:rsidRDefault="00691275" w:rsidP="007E69A7">
      <w:pPr>
        <w:spacing w:line="360" w:lineRule="auto"/>
        <w:ind w:firstLine="1134"/>
        <w:jc w:val="both"/>
        <w:rPr>
          <w:rFonts w:ascii="Arial" w:hAnsi="Arial" w:cs="Arial"/>
        </w:rPr>
      </w:pPr>
      <w:r w:rsidRPr="0097134E">
        <w:rPr>
          <w:rFonts w:ascii="Arial" w:hAnsi="Arial" w:cs="Arial"/>
        </w:rPr>
        <w:t>Dos 26 indviduos masculinos avaliados cursando o segundo ano do ensino médio, haviam 13 do ensino regular, que mesmo não apresentando diferença de significância estatística comparados aos 13 alunos do integral</w:t>
      </w:r>
      <w:r w:rsidR="00CF4635" w:rsidRPr="0097134E">
        <w:rPr>
          <w:rFonts w:ascii="Arial" w:hAnsi="Arial" w:cs="Arial"/>
        </w:rPr>
        <w:t xml:space="preserve"> apresentaram 30,8% (4 alunos) na faixa de IMC acima do adequado. Levando em consideração que apenas 15,5% (2 alunos) dos que frequentam ensino integral se apresentaram acima da faixa de IMC adequada, os parâmetros de avaliações foram todos com leve aumento nos alunos do ensino regular, com exceção da </w:t>
      </w:r>
      <w:r w:rsidR="002D325C" w:rsidRPr="0097134E">
        <w:rPr>
          <w:rFonts w:ascii="Arial" w:hAnsi="Arial" w:cs="Arial"/>
        </w:rPr>
        <w:t xml:space="preserve">estatura </w:t>
      </w:r>
      <w:r w:rsidR="00CF4635" w:rsidRPr="0097134E">
        <w:rPr>
          <w:rFonts w:ascii="Arial" w:hAnsi="Arial" w:cs="Arial"/>
        </w:rPr>
        <w:t>que se demonstrou similar</w:t>
      </w:r>
      <w:r w:rsidR="007308D6" w:rsidRPr="0097134E">
        <w:rPr>
          <w:rFonts w:ascii="Arial" w:hAnsi="Arial" w:cs="Arial"/>
        </w:rPr>
        <w:t xml:space="preserve"> entre os estudantes dos dois períodos.</w:t>
      </w:r>
      <w:r w:rsidR="000746F9" w:rsidRPr="0097134E">
        <w:rPr>
          <w:rFonts w:ascii="Arial" w:hAnsi="Arial" w:cs="Arial"/>
        </w:rPr>
        <w:t xml:space="preserve"> Vale destacar que mesmo sem constatar uma diferença na </w:t>
      </w:r>
      <w:r w:rsidR="002D325C" w:rsidRPr="0097134E">
        <w:rPr>
          <w:rFonts w:ascii="Arial" w:hAnsi="Arial" w:cs="Arial"/>
        </w:rPr>
        <w:t xml:space="preserve">estatura </w:t>
      </w:r>
      <w:r w:rsidR="000746F9" w:rsidRPr="0097134E">
        <w:rPr>
          <w:rFonts w:ascii="Arial" w:hAnsi="Arial" w:cs="Arial"/>
        </w:rPr>
        <w:t>dos grupos comparados, notou se um aumento não só de percentual de massa gorda, mas também o de massa magra.</w:t>
      </w:r>
    </w:p>
    <w:p w14:paraId="1B2E8658" w14:textId="4413BD4A" w:rsidR="009F6F4B" w:rsidRPr="0097134E" w:rsidRDefault="00207BE3" w:rsidP="007E69A7">
      <w:pPr>
        <w:spacing w:line="360" w:lineRule="auto"/>
        <w:ind w:firstLine="1134"/>
        <w:jc w:val="both"/>
        <w:rPr>
          <w:rFonts w:ascii="Arial" w:hAnsi="Arial" w:cs="Arial"/>
        </w:rPr>
      </w:pPr>
      <w:r w:rsidRPr="0097134E">
        <w:rPr>
          <w:rFonts w:ascii="Arial" w:hAnsi="Arial" w:cs="Arial"/>
        </w:rPr>
        <w:t>Indiv</w:t>
      </w:r>
      <w:r w:rsidR="00FB102C" w:rsidRPr="0097134E">
        <w:rPr>
          <w:rFonts w:ascii="Arial" w:hAnsi="Arial" w:cs="Arial"/>
        </w:rPr>
        <w:t>í</w:t>
      </w:r>
      <w:r w:rsidRPr="0097134E">
        <w:rPr>
          <w:rFonts w:ascii="Arial" w:hAnsi="Arial" w:cs="Arial"/>
        </w:rPr>
        <w:t xml:space="preserve">duos masculinos cursando o </w:t>
      </w:r>
      <w:r w:rsidR="002D325C" w:rsidRPr="0097134E">
        <w:rPr>
          <w:rFonts w:ascii="Arial" w:hAnsi="Arial" w:cs="Arial"/>
        </w:rPr>
        <w:t>ú</w:t>
      </w:r>
      <w:r w:rsidRPr="0097134E">
        <w:rPr>
          <w:rFonts w:ascii="Arial" w:hAnsi="Arial" w:cs="Arial"/>
        </w:rPr>
        <w:t>ltimo ano do ensino médio totalizaram 35, de</w:t>
      </w:r>
      <w:r w:rsidR="00D30D3B" w:rsidRPr="0097134E">
        <w:rPr>
          <w:rFonts w:ascii="Arial" w:hAnsi="Arial" w:cs="Arial"/>
        </w:rPr>
        <w:t>ntre eles 24 no período regular</w:t>
      </w:r>
      <w:r w:rsidRPr="0097134E">
        <w:rPr>
          <w:rFonts w:ascii="Arial" w:hAnsi="Arial" w:cs="Arial"/>
        </w:rPr>
        <w:t xml:space="preserve"> onde foi registrado</w:t>
      </w:r>
      <w:r w:rsidR="000746F9" w:rsidRPr="0097134E">
        <w:rPr>
          <w:rFonts w:ascii="Arial" w:hAnsi="Arial" w:cs="Arial"/>
        </w:rPr>
        <w:t xml:space="preserve"> 58,3% de indivíduos com IMC ideal, </w:t>
      </w:r>
      <w:r w:rsidRPr="0097134E">
        <w:rPr>
          <w:rFonts w:ascii="Arial" w:hAnsi="Arial" w:cs="Arial"/>
        </w:rPr>
        <w:t>29,2% acima da faixa de</w:t>
      </w:r>
      <w:r w:rsidR="004D0A1A" w:rsidRPr="0097134E">
        <w:rPr>
          <w:rFonts w:ascii="Arial" w:hAnsi="Arial" w:cs="Arial"/>
        </w:rPr>
        <w:t xml:space="preserve"> IMC</w:t>
      </w:r>
      <w:r w:rsidRPr="0097134E">
        <w:rPr>
          <w:rFonts w:ascii="Arial" w:hAnsi="Arial" w:cs="Arial"/>
        </w:rPr>
        <w:t xml:space="preserve"> ideal</w:t>
      </w:r>
      <w:r w:rsidR="004D0A1A" w:rsidRPr="0097134E">
        <w:rPr>
          <w:rFonts w:ascii="Arial" w:hAnsi="Arial" w:cs="Arial"/>
        </w:rPr>
        <w:t>, sendo 4 individuos (16,7%) em pré obesidade</w:t>
      </w:r>
      <w:r w:rsidR="00BF2958">
        <w:rPr>
          <w:rFonts w:ascii="Arial" w:hAnsi="Arial" w:cs="Arial"/>
        </w:rPr>
        <w:t xml:space="preserve"> e 3 em obesidade</w:t>
      </w:r>
      <w:r w:rsidR="000746F9" w:rsidRPr="0097134E">
        <w:rPr>
          <w:rFonts w:ascii="Arial" w:hAnsi="Arial" w:cs="Arial"/>
        </w:rPr>
        <w:t xml:space="preserve"> e ainda 12,5% de estudantes</w:t>
      </w:r>
      <w:r w:rsidR="00BF2958">
        <w:rPr>
          <w:rFonts w:ascii="Arial" w:hAnsi="Arial" w:cs="Arial"/>
        </w:rPr>
        <w:t xml:space="preserve"> abaixo do peso</w:t>
      </w:r>
      <w:r w:rsidR="00D30D3B" w:rsidRPr="0097134E">
        <w:rPr>
          <w:rFonts w:ascii="Arial" w:hAnsi="Arial" w:cs="Arial"/>
        </w:rPr>
        <w:t xml:space="preserve">. </w:t>
      </w:r>
      <w:r w:rsidR="000746F9" w:rsidRPr="0097134E">
        <w:rPr>
          <w:rFonts w:ascii="Arial" w:hAnsi="Arial" w:cs="Arial"/>
        </w:rPr>
        <w:t>Já d</w:t>
      </w:r>
      <w:r w:rsidR="00D30D3B" w:rsidRPr="0097134E">
        <w:rPr>
          <w:rFonts w:ascii="Arial" w:hAnsi="Arial" w:cs="Arial"/>
        </w:rPr>
        <w:t>entre os 11 estudantes que frequentav</w:t>
      </w:r>
      <w:r w:rsidR="002D325C" w:rsidRPr="0097134E">
        <w:rPr>
          <w:rFonts w:ascii="Arial" w:hAnsi="Arial" w:cs="Arial"/>
        </w:rPr>
        <w:t>a</w:t>
      </w:r>
      <w:r w:rsidR="00D30D3B" w:rsidRPr="0097134E">
        <w:rPr>
          <w:rFonts w:ascii="Arial" w:hAnsi="Arial" w:cs="Arial"/>
        </w:rPr>
        <w:t>m o ensino integral</w:t>
      </w:r>
      <w:r w:rsidR="00FB102C" w:rsidRPr="0097134E">
        <w:rPr>
          <w:rFonts w:ascii="Arial" w:hAnsi="Arial" w:cs="Arial"/>
        </w:rPr>
        <w:t>,</w:t>
      </w:r>
      <w:r w:rsidR="00D30D3B" w:rsidRPr="0097134E">
        <w:rPr>
          <w:rFonts w:ascii="Arial" w:hAnsi="Arial" w:cs="Arial"/>
        </w:rPr>
        <w:t xml:space="preserve"> apenas 54,5% estavam n</w:t>
      </w:r>
      <w:r w:rsidR="002D325C" w:rsidRPr="0097134E">
        <w:rPr>
          <w:rFonts w:ascii="Arial" w:hAnsi="Arial" w:cs="Arial"/>
        </w:rPr>
        <w:t>a</w:t>
      </w:r>
      <w:r w:rsidR="00D30D3B" w:rsidRPr="0097134E">
        <w:rPr>
          <w:rFonts w:ascii="Arial" w:hAnsi="Arial" w:cs="Arial"/>
        </w:rPr>
        <w:t xml:space="preserve"> faixa de IMC adequado, sendo que 27,3% estavam acima do IMC ideal, 9,1% como pré</w:t>
      </w:r>
      <w:r w:rsidR="002D325C" w:rsidRPr="0097134E">
        <w:rPr>
          <w:rFonts w:ascii="Arial" w:hAnsi="Arial" w:cs="Arial"/>
        </w:rPr>
        <w:t>-</w:t>
      </w:r>
      <w:r w:rsidR="00D30D3B" w:rsidRPr="0097134E">
        <w:rPr>
          <w:rFonts w:ascii="Arial" w:hAnsi="Arial" w:cs="Arial"/>
        </w:rPr>
        <w:t>obes</w:t>
      </w:r>
      <w:r w:rsidR="00BF2958">
        <w:rPr>
          <w:rFonts w:ascii="Arial" w:hAnsi="Arial" w:cs="Arial"/>
        </w:rPr>
        <w:t>os e 18,2% em obesidade</w:t>
      </w:r>
      <w:r w:rsidR="00D30D3B" w:rsidRPr="0097134E">
        <w:rPr>
          <w:rFonts w:ascii="Arial" w:hAnsi="Arial" w:cs="Arial"/>
        </w:rPr>
        <w:t xml:space="preserve">, e 18,2% estavam abaixo do adequado. </w:t>
      </w:r>
      <w:r w:rsidR="000746F9" w:rsidRPr="0097134E">
        <w:rPr>
          <w:rFonts w:ascii="Arial" w:hAnsi="Arial" w:cs="Arial"/>
        </w:rPr>
        <w:t>Mesmo que não tenha sido constatado diferenças estat</w:t>
      </w:r>
      <w:r w:rsidR="002D325C" w:rsidRPr="0097134E">
        <w:rPr>
          <w:rFonts w:ascii="Arial" w:hAnsi="Arial" w:cs="Arial"/>
        </w:rPr>
        <w:t>isticmaente</w:t>
      </w:r>
      <w:r w:rsidR="000746F9" w:rsidRPr="0097134E">
        <w:rPr>
          <w:rFonts w:ascii="Arial" w:hAnsi="Arial" w:cs="Arial"/>
        </w:rPr>
        <w:t xml:space="preserve"> significativas entre os frequentadores de regular e integral, nota</w:t>
      </w:r>
      <w:r w:rsidR="002D325C" w:rsidRPr="0097134E">
        <w:rPr>
          <w:rFonts w:ascii="Arial" w:hAnsi="Arial" w:cs="Arial"/>
        </w:rPr>
        <w:t>-</w:t>
      </w:r>
      <w:r w:rsidR="000746F9" w:rsidRPr="0097134E">
        <w:rPr>
          <w:rFonts w:ascii="Arial" w:hAnsi="Arial" w:cs="Arial"/>
        </w:rPr>
        <w:t>se um leve aumento dos parâmetros avaliados nos que frequentam o ensino regular comparado aos que frequentam o ensino integral, com exceção da altura e massa magra</w:t>
      </w:r>
      <w:r w:rsidR="00FB102C" w:rsidRPr="0097134E">
        <w:rPr>
          <w:rFonts w:ascii="Arial" w:hAnsi="Arial" w:cs="Arial"/>
        </w:rPr>
        <w:t>,</w:t>
      </w:r>
      <w:r w:rsidR="000746F9" w:rsidRPr="0097134E">
        <w:rPr>
          <w:rFonts w:ascii="Arial" w:hAnsi="Arial" w:cs="Arial"/>
        </w:rPr>
        <w:t xml:space="preserve"> cuja diferenças não foram constatadas.</w:t>
      </w:r>
    </w:p>
    <w:p w14:paraId="3EE3E195" w14:textId="77777777" w:rsidR="00D0720E" w:rsidRPr="0097134E" w:rsidRDefault="00D0720E" w:rsidP="007E69A7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12ED0374" w14:textId="4C96B2DF" w:rsidR="00577EB4" w:rsidRPr="0097134E" w:rsidRDefault="008C573E" w:rsidP="007E69A7">
      <w:pPr>
        <w:pStyle w:val="Corpodetexto2"/>
        <w:jc w:val="both"/>
        <w:rPr>
          <w:rFonts w:ascii="Arial" w:hAnsi="Arial" w:cs="Arial"/>
          <w:bCs w:val="0"/>
          <w:szCs w:val="24"/>
        </w:rPr>
      </w:pPr>
      <w:r w:rsidRPr="0097134E">
        <w:rPr>
          <w:rFonts w:ascii="Arial" w:hAnsi="Arial" w:cs="Arial"/>
          <w:bCs w:val="0"/>
          <w:szCs w:val="24"/>
        </w:rPr>
        <w:t>DISCUSSÃO</w:t>
      </w:r>
    </w:p>
    <w:p w14:paraId="4C58FAD7" w14:textId="77777777" w:rsidR="008C573E" w:rsidRPr="0097134E" w:rsidRDefault="008C573E" w:rsidP="007E69A7">
      <w:pPr>
        <w:pStyle w:val="Corpodetexto2"/>
        <w:ind w:firstLine="1134"/>
        <w:jc w:val="both"/>
        <w:rPr>
          <w:rFonts w:ascii="Arial" w:hAnsi="Arial" w:cs="Arial"/>
          <w:bCs w:val="0"/>
          <w:szCs w:val="24"/>
        </w:rPr>
      </w:pPr>
    </w:p>
    <w:p w14:paraId="44AEBB96" w14:textId="781AEDCC" w:rsidR="00E8073B" w:rsidRPr="0097134E" w:rsidRDefault="001D4B8F" w:rsidP="007E69A7">
      <w:pPr>
        <w:pStyle w:val="Corpodetexto2"/>
        <w:ind w:firstLine="1134"/>
        <w:jc w:val="both"/>
        <w:rPr>
          <w:rFonts w:ascii="Arial" w:hAnsi="Arial" w:cs="Arial"/>
          <w:b w:val="0"/>
          <w:bCs w:val="0"/>
          <w:color w:val="auto"/>
          <w:szCs w:val="24"/>
        </w:rPr>
      </w:pPr>
      <w:r w:rsidRPr="0097134E">
        <w:rPr>
          <w:rFonts w:ascii="Arial" w:hAnsi="Arial" w:cs="Arial"/>
          <w:b w:val="0"/>
          <w:bCs w:val="0"/>
          <w:color w:val="auto"/>
          <w:szCs w:val="24"/>
        </w:rPr>
        <w:tab/>
      </w:r>
      <w:r w:rsidR="00153844" w:rsidRPr="0097134E">
        <w:rPr>
          <w:rFonts w:ascii="Arial" w:hAnsi="Arial" w:cs="Arial"/>
          <w:b w:val="0"/>
          <w:bCs w:val="0"/>
          <w:color w:val="auto"/>
          <w:szCs w:val="24"/>
        </w:rPr>
        <w:t>Os resultados demonstrara</w:t>
      </w:r>
      <w:r w:rsidR="00E92BE0" w:rsidRPr="0097134E">
        <w:rPr>
          <w:rFonts w:ascii="Arial" w:hAnsi="Arial" w:cs="Arial"/>
          <w:b w:val="0"/>
          <w:bCs w:val="0"/>
          <w:color w:val="auto"/>
          <w:szCs w:val="24"/>
        </w:rPr>
        <w:t xml:space="preserve">m </w:t>
      </w:r>
      <w:r w:rsidR="00153844" w:rsidRPr="0097134E">
        <w:rPr>
          <w:rFonts w:ascii="Arial" w:hAnsi="Arial" w:cs="Arial"/>
          <w:b w:val="0"/>
          <w:bCs w:val="0"/>
          <w:color w:val="auto"/>
          <w:szCs w:val="24"/>
        </w:rPr>
        <w:t>um aumento da média de peso de meninas do 3</w:t>
      </w:r>
      <w:r w:rsidR="00E92BE0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ano </w:t>
      </w:r>
      <w:r w:rsidR="00153844" w:rsidRPr="0097134E">
        <w:rPr>
          <w:rFonts w:ascii="Arial" w:hAnsi="Arial" w:cs="Arial"/>
          <w:b w:val="0"/>
          <w:bCs w:val="0"/>
          <w:color w:val="auto"/>
          <w:szCs w:val="24"/>
        </w:rPr>
        <w:t xml:space="preserve">do ensino integral comparadas as do ensino regular, tendo percentual </w:t>
      </w:r>
      <w:r w:rsidR="00E92BE0" w:rsidRPr="0097134E">
        <w:rPr>
          <w:rFonts w:ascii="Arial" w:hAnsi="Arial" w:cs="Arial"/>
          <w:b w:val="0"/>
          <w:bCs w:val="0"/>
          <w:color w:val="auto"/>
          <w:szCs w:val="24"/>
        </w:rPr>
        <w:t xml:space="preserve">de sobrepeso de 20%, muito superior aos 7,7% do regular. </w:t>
      </w:r>
      <w:r w:rsidR="004D344A" w:rsidRPr="0097134E">
        <w:rPr>
          <w:rFonts w:ascii="Arial" w:hAnsi="Arial" w:cs="Arial"/>
          <w:b w:val="0"/>
          <w:bCs w:val="0"/>
          <w:color w:val="auto"/>
          <w:szCs w:val="24"/>
        </w:rPr>
        <w:t>Sendo importante compreender as relações entre obesidade e diferentes características comportamentais para ajudar na elaboração de estratégias mais eficazes de prevenção da obesidade em jovens, de forma a reduzir suas complicações</w:t>
      </w:r>
      <w:r w:rsidR="00FB0203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(6).</w:t>
      </w:r>
    </w:p>
    <w:p w14:paraId="379D11B6" w14:textId="779B0628" w:rsidR="00E8073B" w:rsidRPr="0097134E" w:rsidRDefault="00FB102C" w:rsidP="007E69A7">
      <w:pPr>
        <w:pStyle w:val="Corpodetexto2"/>
        <w:ind w:firstLine="1134"/>
        <w:jc w:val="both"/>
        <w:rPr>
          <w:rFonts w:ascii="Arial" w:hAnsi="Arial" w:cs="Arial"/>
          <w:b w:val="0"/>
          <w:bCs w:val="0"/>
          <w:color w:val="auto"/>
          <w:szCs w:val="24"/>
        </w:rPr>
      </w:pPr>
      <w:r w:rsidRPr="0097134E">
        <w:rPr>
          <w:rFonts w:ascii="Arial" w:hAnsi="Arial" w:cs="Arial"/>
          <w:b w:val="0"/>
          <w:bCs w:val="0"/>
          <w:color w:val="auto"/>
          <w:szCs w:val="24"/>
        </w:rPr>
        <w:t>Foi encontrado no presente</w:t>
      </w:r>
      <w:r w:rsidR="00E8073B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estudo uma prevalência de 18,5% de adolescentes com algum grau de excesso de peso, sendo esses dados bem abaixo do que foi encontrado em um estudo realizado em Porto Alegre que, em </w:t>
      </w:r>
      <w:r w:rsidR="00152518" w:rsidRPr="0097134E">
        <w:rPr>
          <w:rFonts w:ascii="Arial" w:hAnsi="Arial" w:cs="Arial"/>
          <w:b w:val="0"/>
          <w:bCs w:val="0"/>
          <w:color w:val="auto"/>
          <w:szCs w:val="24"/>
        </w:rPr>
        <w:t xml:space="preserve">uma </w:t>
      </w:r>
      <w:r w:rsidR="00E8073B" w:rsidRPr="0097134E">
        <w:rPr>
          <w:rFonts w:ascii="Arial" w:hAnsi="Arial" w:cs="Arial"/>
          <w:b w:val="0"/>
          <w:bCs w:val="0"/>
          <w:color w:val="auto"/>
          <w:szCs w:val="24"/>
        </w:rPr>
        <w:t xml:space="preserve">amostra de 511 escolares de 10-18 anos, observou 27,6% de pessoas com peso em excesso. Em relação ao sexo feminino </w:t>
      </w:r>
      <w:r w:rsidRPr="0097134E">
        <w:rPr>
          <w:rFonts w:ascii="Arial" w:hAnsi="Arial" w:cs="Arial"/>
          <w:b w:val="0"/>
          <w:bCs w:val="0"/>
          <w:color w:val="auto"/>
          <w:szCs w:val="24"/>
        </w:rPr>
        <w:t xml:space="preserve">foi encontrado </w:t>
      </w:r>
      <w:r w:rsidR="00E8073B" w:rsidRPr="0097134E">
        <w:rPr>
          <w:rFonts w:ascii="Arial" w:hAnsi="Arial" w:cs="Arial"/>
          <w:b w:val="0"/>
          <w:bCs w:val="0"/>
          <w:color w:val="auto"/>
          <w:szCs w:val="24"/>
        </w:rPr>
        <w:t>4% de pessoas com algum grau de obesidade, número também abaixo do que foi constatado por Palmeiro</w:t>
      </w:r>
      <w:r w:rsidR="009A244F" w:rsidRPr="0097134E">
        <w:rPr>
          <w:rFonts w:ascii="Arial" w:hAnsi="Arial" w:cs="Arial"/>
          <w:b w:val="0"/>
          <w:bCs w:val="0"/>
          <w:color w:val="auto"/>
          <w:szCs w:val="24"/>
        </w:rPr>
        <w:t xml:space="preserve">, (2019) (11), </w:t>
      </w:r>
      <w:r w:rsidR="00E8073B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em seu estudo, mostrando 13,5%. Uma mesma característica pode ser vista em relação ao grupo dos meninos, o qual também apresentou uma prevalência de obesidade bem abaixo das encontradas em outros estudos. Apenas 3% deles se encaixavam em algum grau de obesidade, contrastando com os 65,8% encontrados por Mann e Serrano</w:t>
      </w:r>
      <w:r w:rsidR="009A244F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(11,12,13,14)</w:t>
      </w:r>
      <w:r w:rsidR="005557D2" w:rsidRPr="0097134E">
        <w:rPr>
          <w:rFonts w:ascii="Arial" w:hAnsi="Arial" w:cs="Arial"/>
          <w:b w:val="0"/>
          <w:bCs w:val="0"/>
          <w:color w:val="auto"/>
          <w:szCs w:val="24"/>
        </w:rPr>
        <w:t>.</w:t>
      </w:r>
      <w:r w:rsidR="00E8073B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</w:t>
      </w:r>
      <w:r w:rsidR="009A244F" w:rsidRPr="0097134E" w:rsidDel="009A244F">
        <w:rPr>
          <w:rFonts w:ascii="Arial" w:hAnsi="Arial" w:cs="Arial"/>
          <w:b w:val="0"/>
          <w:bCs w:val="0"/>
          <w:color w:val="auto"/>
          <w:szCs w:val="24"/>
        </w:rPr>
        <w:t xml:space="preserve"> </w:t>
      </w:r>
    </w:p>
    <w:p w14:paraId="7D7566AA" w14:textId="6AC40BED" w:rsidR="005F0444" w:rsidRPr="0097134E" w:rsidRDefault="00963FAA" w:rsidP="007E69A7">
      <w:pPr>
        <w:pStyle w:val="Corpodetexto2"/>
        <w:ind w:firstLine="1134"/>
        <w:jc w:val="both"/>
        <w:rPr>
          <w:rFonts w:ascii="Arial" w:hAnsi="Arial" w:cs="Arial"/>
          <w:b w:val="0"/>
          <w:bCs w:val="0"/>
          <w:color w:val="auto"/>
          <w:szCs w:val="24"/>
        </w:rPr>
      </w:pPr>
      <w:r w:rsidRPr="0097134E">
        <w:rPr>
          <w:rFonts w:ascii="Arial" w:hAnsi="Arial" w:cs="Arial"/>
          <w:b w:val="0"/>
          <w:bCs w:val="0"/>
          <w:color w:val="auto"/>
          <w:szCs w:val="24"/>
        </w:rPr>
        <w:t>Corroborando com o presente estudo, em que o percentual de massa gorda (%MG) se manteve maior em todas as idades no sexo feminino,</w:t>
      </w:r>
      <w:r w:rsidR="002E44E5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</w:t>
      </w:r>
      <w:r w:rsidRPr="0097134E">
        <w:rPr>
          <w:rFonts w:ascii="Arial" w:hAnsi="Arial" w:cs="Arial"/>
          <w:b w:val="0"/>
          <w:bCs w:val="0"/>
          <w:color w:val="auto"/>
          <w:szCs w:val="24"/>
        </w:rPr>
        <w:t>o %MG</w:t>
      </w:r>
      <w:r w:rsidR="00380D54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foi discriminado </w:t>
      </w:r>
      <w:r w:rsidR="00503293" w:rsidRPr="0097134E">
        <w:rPr>
          <w:rFonts w:ascii="Arial" w:hAnsi="Arial" w:cs="Arial"/>
          <w:b w:val="0"/>
          <w:bCs w:val="0"/>
          <w:color w:val="auto"/>
          <w:szCs w:val="24"/>
        </w:rPr>
        <w:t>entre meninos e meninas de um pa</w:t>
      </w:r>
      <w:r w:rsidR="00152518" w:rsidRPr="0097134E">
        <w:rPr>
          <w:rFonts w:ascii="Arial" w:hAnsi="Arial" w:cs="Arial"/>
          <w:b w:val="0"/>
          <w:bCs w:val="0"/>
          <w:color w:val="auto"/>
          <w:szCs w:val="24"/>
        </w:rPr>
        <w:t>í</w:t>
      </w:r>
      <w:r w:rsidR="00503293" w:rsidRPr="0097134E">
        <w:rPr>
          <w:rFonts w:ascii="Arial" w:hAnsi="Arial" w:cs="Arial"/>
          <w:b w:val="0"/>
          <w:bCs w:val="0"/>
          <w:color w:val="auto"/>
          <w:szCs w:val="24"/>
        </w:rPr>
        <w:t>s Asi</w:t>
      </w:r>
      <w:r w:rsidR="00152518" w:rsidRPr="0097134E">
        <w:rPr>
          <w:rFonts w:ascii="Arial" w:hAnsi="Arial" w:cs="Arial"/>
          <w:b w:val="0"/>
          <w:bCs w:val="0"/>
          <w:color w:val="auto"/>
          <w:szCs w:val="24"/>
        </w:rPr>
        <w:t>á</w:t>
      </w:r>
      <w:r w:rsidR="00503293" w:rsidRPr="0097134E">
        <w:rPr>
          <w:rFonts w:ascii="Arial" w:hAnsi="Arial" w:cs="Arial"/>
          <w:b w:val="0"/>
          <w:bCs w:val="0"/>
          <w:color w:val="auto"/>
          <w:szCs w:val="24"/>
        </w:rPr>
        <w:t>tico, onde foi constatado</w:t>
      </w:r>
      <w:r w:rsidR="002E44E5" w:rsidRPr="0097134E">
        <w:rPr>
          <w:rFonts w:ascii="Arial" w:hAnsi="Arial" w:cs="Arial"/>
          <w:b w:val="0"/>
          <w:bCs w:val="0"/>
          <w:color w:val="auto"/>
          <w:szCs w:val="24"/>
        </w:rPr>
        <w:t>, devido principalmente a fatores hormonais,</w:t>
      </w:r>
      <w:r w:rsidR="00503293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que dos 11 aos 18 anos de idade, o %MG cresce consideravelmente nas mulheres, em contrapartida os meninos tem esse aumento nos índices de massa magra</w:t>
      </w:r>
      <w:r w:rsidR="00D12283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(</w:t>
      </w:r>
      <w:r w:rsidR="005557D2" w:rsidRPr="0097134E">
        <w:rPr>
          <w:rFonts w:ascii="Arial" w:hAnsi="Arial" w:cs="Arial"/>
          <w:b w:val="0"/>
          <w:bCs w:val="0"/>
          <w:color w:val="auto"/>
          <w:szCs w:val="24"/>
        </w:rPr>
        <w:t xml:space="preserve">15). </w:t>
      </w:r>
      <w:r w:rsidRPr="0097134E">
        <w:rPr>
          <w:rFonts w:ascii="Arial" w:hAnsi="Arial" w:cs="Arial"/>
          <w:b w:val="0"/>
          <w:bCs w:val="0"/>
          <w:color w:val="auto"/>
          <w:szCs w:val="24"/>
        </w:rPr>
        <w:t>P</w:t>
      </w:r>
      <w:r w:rsidR="00BD6056" w:rsidRPr="0097134E">
        <w:rPr>
          <w:rFonts w:ascii="Arial" w:hAnsi="Arial" w:cs="Arial"/>
          <w:b w:val="0"/>
          <w:bCs w:val="0"/>
          <w:color w:val="auto"/>
          <w:szCs w:val="24"/>
        </w:rPr>
        <w:t>orém</w:t>
      </w:r>
      <w:r w:rsidR="00FB102C" w:rsidRPr="0097134E">
        <w:rPr>
          <w:rFonts w:ascii="Arial" w:hAnsi="Arial" w:cs="Arial"/>
          <w:b w:val="0"/>
          <w:bCs w:val="0"/>
          <w:color w:val="auto"/>
          <w:szCs w:val="24"/>
        </w:rPr>
        <w:t>,</w:t>
      </w:r>
      <w:r w:rsidRPr="0097134E">
        <w:rPr>
          <w:rFonts w:ascii="Arial" w:hAnsi="Arial" w:cs="Arial"/>
          <w:b w:val="0"/>
          <w:bCs w:val="0"/>
          <w:color w:val="auto"/>
          <w:szCs w:val="24"/>
        </w:rPr>
        <w:t xml:space="preserve"> não houve qualquer variação estatística que se </w:t>
      </w:r>
      <w:r w:rsidR="00FB102C" w:rsidRPr="0097134E">
        <w:rPr>
          <w:rFonts w:ascii="Arial" w:hAnsi="Arial" w:cs="Arial"/>
          <w:b w:val="0"/>
          <w:bCs w:val="0"/>
          <w:color w:val="auto"/>
          <w:szCs w:val="24"/>
        </w:rPr>
        <w:t xml:space="preserve">mostrou </w:t>
      </w:r>
      <w:r w:rsidRPr="0097134E">
        <w:rPr>
          <w:rFonts w:ascii="Arial" w:hAnsi="Arial" w:cs="Arial"/>
          <w:b w:val="0"/>
          <w:bCs w:val="0"/>
          <w:color w:val="auto"/>
          <w:szCs w:val="24"/>
        </w:rPr>
        <w:t xml:space="preserve">significativa </w:t>
      </w:r>
      <w:r w:rsidR="00BD6056" w:rsidRPr="0097134E">
        <w:rPr>
          <w:rFonts w:ascii="Arial" w:hAnsi="Arial" w:cs="Arial"/>
          <w:b w:val="0"/>
          <w:bCs w:val="0"/>
          <w:color w:val="auto"/>
          <w:szCs w:val="24"/>
        </w:rPr>
        <w:t xml:space="preserve">ao se comparar o ensino regular com o integral. </w:t>
      </w:r>
    </w:p>
    <w:p w14:paraId="0AA808DB" w14:textId="44518830" w:rsidR="00963FAA" w:rsidRPr="0097134E" w:rsidRDefault="00963FAA" w:rsidP="007E69A7">
      <w:pPr>
        <w:pStyle w:val="Corpodetexto2"/>
        <w:ind w:firstLine="1134"/>
        <w:jc w:val="both"/>
        <w:rPr>
          <w:rFonts w:ascii="Arial" w:hAnsi="Arial" w:cs="Arial"/>
          <w:b w:val="0"/>
          <w:bCs w:val="0"/>
          <w:color w:val="auto"/>
          <w:szCs w:val="24"/>
        </w:rPr>
      </w:pPr>
      <w:r w:rsidRPr="0097134E">
        <w:rPr>
          <w:rFonts w:ascii="Arial" w:hAnsi="Arial" w:cs="Arial"/>
          <w:b w:val="0"/>
          <w:bCs w:val="0"/>
          <w:color w:val="auto"/>
          <w:szCs w:val="24"/>
        </w:rPr>
        <w:t xml:space="preserve">O crescimento longitudinal na infância é influenciado por fatores genéticos e ambientais, mediados por fatores metabólicos via </w:t>
      </w:r>
      <w:r w:rsidR="0056115D">
        <w:rPr>
          <w:rFonts w:ascii="Arial" w:hAnsi="Arial" w:cs="Arial"/>
          <w:b w:val="0"/>
          <w:bCs w:val="0"/>
          <w:color w:val="auto"/>
          <w:szCs w:val="24"/>
        </w:rPr>
        <w:t>hormônio do crescimento (GH)</w:t>
      </w:r>
      <w:r w:rsidRPr="0097134E">
        <w:rPr>
          <w:rFonts w:ascii="Arial" w:hAnsi="Arial" w:cs="Arial"/>
          <w:b w:val="0"/>
          <w:bCs w:val="0"/>
          <w:color w:val="auto"/>
          <w:szCs w:val="24"/>
        </w:rPr>
        <w:t xml:space="preserve"> (</w:t>
      </w:r>
      <w:r w:rsidR="005557D2" w:rsidRPr="0097134E">
        <w:rPr>
          <w:rFonts w:ascii="Arial" w:hAnsi="Arial" w:cs="Arial"/>
          <w:b w:val="0"/>
          <w:bCs w:val="0"/>
          <w:color w:val="auto"/>
          <w:szCs w:val="24"/>
        </w:rPr>
        <w:t>16)</w:t>
      </w:r>
      <w:r w:rsidR="00402459" w:rsidRPr="0097134E">
        <w:rPr>
          <w:rFonts w:ascii="Arial" w:hAnsi="Arial" w:cs="Arial"/>
          <w:b w:val="0"/>
          <w:bCs w:val="0"/>
          <w:color w:val="auto"/>
          <w:szCs w:val="24"/>
        </w:rPr>
        <w:t xml:space="preserve">. </w:t>
      </w:r>
      <w:r w:rsidR="007A073D" w:rsidRPr="0097134E">
        <w:rPr>
          <w:rFonts w:ascii="Arial" w:hAnsi="Arial" w:cs="Arial"/>
          <w:b w:val="0"/>
          <w:bCs w:val="0"/>
          <w:color w:val="auto"/>
          <w:szCs w:val="24"/>
        </w:rPr>
        <w:t xml:space="preserve">Devido a importância dos fatores hormonais, o </w:t>
      </w:r>
      <w:r w:rsidR="00AC3D25" w:rsidRPr="0097134E">
        <w:rPr>
          <w:rFonts w:ascii="Arial" w:hAnsi="Arial" w:cs="Arial"/>
          <w:b w:val="0"/>
          <w:bCs w:val="0"/>
          <w:color w:val="auto"/>
          <w:szCs w:val="24"/>
        </w:rPr>
        <w:t>crescimento é influenciado</w:t>
      </w:r>
      <w:r w:rsidR="007A073D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no sexo feminino e masculino pelas fases puberais</w:t>
      </w:r>
      <w:r w:rsidR="00BF2958">
        <w:rPr>
          <w:rFonts w:ascii="Arial" w:hAnsi="Arial" w:cs="Arial"/>
          <w:b w:val="0"/>
          <w:bCs w:val="0"/>
          <w:color w:val="auto"/>
          <w:szCs w:val="24"/>
        </w:rPr>
        <w:t xml:space="preserve"> de</w:t>
      </w:r>
      <w:r w:rsidR="007A073D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Tanner descritas em 1970</w:t>
      </w:r>
      <w:r w:rsidR="001A2C60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(17)</w:t>
      </w:r>
      <w:r w:rsidR="007A073D" w:rsidRPr="0097134E">
        <w:rPr>
          <w:rFonts w:ascii="Arial" w:hAnsi="Arial" w:cs="Arial"/>
          <w:b w:val="0"/>
          <w:bCs w:val="0"/>
          <w:color w:val="auto"/>
          <w:szCs w:val="24"/>
        </w:rPr>
        <w:t>. No sexo feminino, cujo pico de</w:t>
      </w:r>
      <w:r w:rsidR="00AC3D25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velocidade de</w:t>
      </w:r>
      <w:r w:rsidR="007A073D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crescimento é atingido em média dos 12 aos 14 anos</w:t>
      </w:r>
      <w:r w:rsidR="001A2C60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(17)</w:t>
      </w:r>
      <w:r w:rsidR="00AC3D25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atinge seu máximo crescimento com cerca de 15 anos</w:t>
      </w:r>
      <w:r w:rsidR="001A2C60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(18)</w:t>
      </w:r>
      <w:r w:rsidR="00AC3D25" w:rsidRPr="0097134E">
        <w:rPr>
          <w:rFonts w:ascii="Arial" w:hAnsi="Arial" w:cs="Arial"/>
          <w:b w:val="0"/>
          <w:bCs w:val="0"/>
          <w:color w:val="auto"/>
          <w:szCs w:val="24"/>
        </w:rPr>
        <w:t>, dados condizentes com o atual estudo cuj</w:t>
      </w:r>
      <w:r w:rsidR="000D365F" w:rsidRPr="0097134E">
        <w:rPr>
          <w:rFonts w:ascii="Arial" w:hAnsi="Arial" w:cs="Arial"/>
          <w:b w:val="0"/>
          <w:bCs w:val="0"/>
          <w:color w:val="auto"/>
          <w:szCs w:val="24"/>
        </w:rPr>
        <w:t>a</w:t>
      </w:r>
      <w:r w:rsidR="00AC3D25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variação entre </w:t>
      </w:r>
      <w:r w:rsidR="000D365F" w:rsidRPr="0097134E">
        <w:rPr>
          <w:rFonts w:ascii="Arial" w:hAnsi="Arial" w:cs="Arial"/>
          <w:b w:val="0"/>
          <w:bCs w:val="0"/>
          <w:color w:val="auto"/>
          <w:szCs w:val="24"/>
        </w:rPr>
        <w:t xml:space="preserve">estatura </w:t>
      </w:r>
      <w:r w:rsidR="00AC3D25" w:rsidRPr="0097134E">
        <w:rPr>
          <w:rFonts w:ascii="Arial" w:hAnsi="Arial" w:cs="Arial"/>
          <w:b w:val="0"/>
          <w:bCs w:val="0"/>
          <w:color w:val="auto"/>
          <w:szCs w:val="24"/>
        </w:rPr>
        <w:t xml:space="preserve">no sexo feminino entre 15 e 17 anos não foi </w:t>
      </w:r>
      <w:r w:rsidR="000D365F" w:rsidRPr="0097134E">
        <w:rPr>
          <w:rFonts w:ascii="Arial" w:hAnsi="Arial" w:cs="Arial"/>
          <w:b w:val="0"/>
          <w:bCs w:val="0"/>
          <w:color w:val="auto"/>
          <w:szCs w:val="24"/>
        </w:rPr>
        <w:t xml:space="preserve">estatisticamente </w:t>
      </w:r>
      <w:r w:rsidR="00AC3D25" w:rsidRPr="0097134E">
        <w:rPr>
          <w:rFonts w:ascii="Arial" w:hAnsi="Arial" w:cs="Arial"/>
          <w:b w:val="0"/>
          <w:bCs w:val="0"/>
          <w:color w:val="auto"/>
          <w:szCs w:val="24"/>
        </w:rPr>
        <w:t xml:space="preserve">significativa. Já no sexo masculino, com </w:t>
      </w:r>
      <w:r w:rsidR="00FB102C" w:rsidRPr="0097134E">
        <w:rPr>
          <w:rFonts w:ascii="Arial" w:hAnsi="Arial" w:cs="Arial"/>
          <w:b w:val="0"/>
          <w:bCs w:val="0"/>
          <w:color w:val="auto"/>
          <w:szCs w:val="24"/>
        </w:rPr>
        <w:t xml:space="preserve">o </w:t>
      </w:r>
      <w:r w:rsidR="00AC3D25" w:rsidRPr="0097134E">
        <w:rPr>
          <w:rFonts w:ascii="Arial" w:hAnsi="Arial" w:cs="Arial"/>
          <w:b w:val="0"/>
          <w:bCs w:val="0"/>
          <w:color w:val="auto"/>
          <w:szCs w:val="24"/>
        </w:rPr>
        <w:t>fim de crescimento em cerca d</w:t>
      </w:r>
      <w:r w:rsidR="00FB102C" w:rsidRPr="0097134E">
        <w:rPr>
          <w:rFonts w:ascii="Arial" w:hAnsi="Arial" w:cs="Arial"/>
          <w:b w:val="0"/>
          <w:bCs w:val="0"/>
          <w:color w:val="auto"/>
          <w:szCs w:val="24"/>
        </w:rPr>
        <w:t>os</w:t>
      </w:r>
      <w:r w:rsidR="00AC3D25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17 anos</w:t>
      </w:r>
      <w:r w:rsidR="0056115D">
        <w:rPr>
          <w:rFonts w:ascii="Arial" w:hAnsi="Arial" w:cs="Arial"/>
          <w:b w:val="0"/>
          <w:bCs w:val="0"/>
          <w:color w:val="auto"/>
          <w:szCs w:val="24"/>
        </w:rPr>
        <w:t xml:space="preserve"> </w:t>
      </w:r>
      <w:r w:rsidR="001A2C60" w:rsidRPr="0097134E">
        <w:rPr>
          <w:rFonts w:ascii="Arial" w:hAnsi="Arial" w:cs="Arial"/>
          <w:b w:val="0"/>
          <w:bCs w:val="0"/>
          <w:color w:val="auto"/>
          <w:szCs w:val="24"/>
        </w:rPr>
        <w:t>(18)</w:t>
      </w:r>
      <w:r w:rsidR="00AC3D25" w:rsidRPr="0097134E">
        <w:rPr>
          <w:rFonts w:ascii="Arial" w:hAnsi="Arial" w:cs="Arial"/>
          <w:b w:val="0"/>
          <w:bCs w:val="0"/>
          <w:color w:val="auto"/>
          <w:szCs w:val="24"/>
        </w:rPr>
        <w:t>, e pico máximo de velocidade de crescimento aos 14</w:t>
      </w:r>
      <w:r w:rsidR="0056115D">
        <w:rPr>
          <w:rFonts w:ascii="Arial" w:hAnsi="Arial" w:cs="Arial"/>
          <w:b w:val="0"/>
          <w:bCs w:val="0"/>
          <w:color w:val="auto"/>
          <w:szCs w:val="24"/>
        </w:rPr>
        <w:t xml:space="preserve"> </w:t>
      </w:r>
      <w:r w:rsidR="001A2C60" w:rsidRPr="0097134E">
        <w:rPr>
          <w:rFonts w:ascii="Arial" w:hAnsi="Arial" w:cs="Arial"/>
          <w:b w:val="0"/>
          <w:bCs w:val="0"/>
          <w:color w:val="auto"/>
          <w:szCs w:val="24"/>
        </w:rPr>
        <w:t>(19)</w:t>
      </w:r>
      <w:r w:rsidR="00AC3D25" w:rsidRPr="0097134E">
        <w:rPr>
          <w:rFonts w:ascii="Arial" w:hAnsi="Arial" w:cs="Arial"/>
          <w:b w:val="0"/>
          <w:bCs w:val="0"/>
          <w:color w:val="auto"/>
          <w:szCs w:val="24"/>
        </w:rPr>
        <w:t>, evidencia</w:t>
      </w:r>
      <w:r w:rsidR="00FB102C" w:rsidRPr="0097134E">
        <w:rPr>
          <w:rFonts w:ascii="Arial" w:hAnsi="Arial" w:cs="Arial"/>
          <w:b w:val="0"/>
          <w:bCs w:val="0"/>
          <w:color w:val="auto"/>
          <w:szCs w:val="24"/>
        </w:rPr>
        <w:t>-</w:t>
      </w:r>
      <w:r w:rsidR="00AC3D25" w:rsidRPr="0097134E">
        <w:rPr>
          <w:rFonts w:ascii="Arial" w:hAnsi="Arial" w:cs="Arial"/>
          <w:b w:val="0"/>
          <w:bCs w:val="0"/>
          <w:color w:val="auto"/>
          <w:szCs w:val="24"/>
        </w:rPr>
        <w:t xml:space="preserve">se a diferença de altura entre os estudantes do primeiro ano e do terceiro ano de cerca de 4cm.  </w:t>
      </w:r>
    </w:p>
    <w:p w14:paraId="51DD86EC" w14:textId="409C8082" w:rsidR="00FB102C" w:rsidRPr="0097134E" w:rsidRDefault="00BA73C7" w:rsidP="007E69A7">
      <w:pPr>
        <w:pStyle w:val="Corpodetexto2"/>
        <w:ind w:firstLine="1134"/>
        <w:jc w:val="both"/>
        <w:rPr>
          <w:rFonts w:ascii="Arial" w:hAnsi="Arial" w:cs="Arial"/>
          <w:b w:val="0"/>
          <w:szCs w:val="24"/>
          <w:shd w:val="clear" w:color="auto" w:fill="FFFFFF"/>
        </w:rPr>
      </w:pPr>
      <w:r w:rsidRPr="0097134E">
        <w:rPr>
          <w:rFonts w:ascii="Arial" w:hAnsi="Arial" w:cs="Arial"/>
          <w:b w:val="0"/>
        </w:rPr>
        <w:t>A prevalência de sobrepeso vem se tornado expressiva em todas as classes econômicas, sobretudo nos adolescentes (</w:t>
      </w:r>
      <w:r w:rsidR="005557D2" w:rsidRPr="0097134E">
        <w:rPr>
          <w:rFonts w:ascii="Arial" w:hAnsi="Arial" w:cs="Arial"/>
          <w:b w:val="0"/>
        </w:rPr>
        <w:t>6</w:t>
      </w:r>
      <w:r w:rsidRPr="0097134E">
        <w:rPr>
          <w:rFonts w:ascii="Arial" w:hAnsi="Arial" w:cs="Arial"/>
          <w:b w:val="0"/>
        </w:rPr>
        <w:t xml:space="preserve">). </w:t>
      </w:r>
      <w:r w:rsidRPr="0097134E">
        <w:rPr>
          <w:rFonts w:ascii="Arial" w:hAnsi="Arial" w:cs="Arial"/>
          <w:b w:val="0"/>
          <w:bCs w:val="0"/>
          <w:shd w:val="clear" w:color="auto" w:fill="FFFFFF"/>
        </w:rPr>
        <w:t>Levando em consideração que sobrepeso em crianças e adolescentes podem resultar numa variedade de comorbidades</w:t>
      </w:r>
      <w:r w:rsidR="000A2EA3" w:rsidRPr="0097134E">
        <w:rPr>
          <w:rFonts w:ascii="Arial" w:hAnsi="Arial" w:cs="Arial"/>
          <w:b w:val="0"/>
          <w:bCs w:val="0"/>
          <w:shd w:val="clear" w:color="auto" w:fill="FFFFFF"/>
        </w:rPr>
        <w:t>,</w:t>
      </w:r>
      <w:r w:rsidRPr="0097134E">
        <w:rPr>
          <w:rFonts w:ascii="Arial" w:hAnsi="Arial" w:cs="Arial"/>
          <w:b w:val="0"/>
          <w:bCs w:val="0"/>
          <w:shd w:val="clear" w:color="auto" w:fill="FFFFFF"/>
        </w:rPr>
        <w:t xml:space="preserve"> incluindo Diabetes melitus tipo 2, apneia obstrutiva do sono, hipertensão, dislipidemia e síndrome metabólica se faz necessário cada vez mais estudos na prevenção</w:t>
      </w:r>
      <w:r w:rsidR="000D365F" w:rsidRPr="0097134E">
        <w:rPr>
          <w:rFonts w:ascii="Arial" w:hAnsi="Arial" w:cs="Arial"/>
          <w:b w:val="0"/>
          <w:bCs w:val="0"/>
          <w:shd w:val="clear" w:color="auto" w:fill="FFFFFF"/>
        </w:rPr>
        <w:t xml:space="preserve"> para</w:t>
      </w:r>
      <w:r w:rsidRPr="0097134E">
        <w:rPr>
          <w:rFonts w:ascii="Arial" w:hAnsi="Arial" w:cs="Arial"/>
          <w:b w:val="0"/>
          <w:bCs w:val="0"/>
          <w:shd w:val="clear" w:color="auto" w:fill="FFFFFF"/>
        </w:rPr>
        <w:t xml:space="preserve"> a conduta mais eficaz contra essa alteração crônica (</w:t>
      </w:r>
      <w:r w:rsidR="001A2C60" w:rsidRPr="0097134E">
        <w:rPr>
          <w:rFonts w:ascii="Arial" w:hAnsi="Arial" w:cs="Arial"/>
          <w:b w:val="0"/>
          <w:bCs w:val="0"/>
          <w:shd w:val="clear" w:color="auto" w:fill="FFFFFF"/>
        </w:rPr>
        <w:t>20</w:t>
      </w:r>
      <w:r w:rsidR="005557D2" w:rsidRPr="0097134E">
        <w:rPr>
          <w:rFonts w:ascii="Arial" w:hAnsi="Arial" w:cs="Arial"/>
          <w:b w:val="0"/>
          <w:bCs w:val="0"/>
          <w:shd w:val="clear" w:color="auto" w:fill="FFFFFF"/>
        </w:rPr>
        <w:t xml:space="preserve">). </w:t>
      </w:r>
    </w:p>
    <w:p w14:paraId="6593C449" w14:textId="7AAEE159" w:rsidR="00BA73C7" w:rsidRPr="0097134E" w:rsidRDefault="00BA73C7" w:rsidP="007E69A7">
      <w:pPr>
        <w:pStyle w:val="Corpodetexto2"/>
        <w:ind w:firstLine="1134"/>
        <w:jc w:val="both"/>
        <w:rPr>
          <w:rFonts w:ascii="Arial" w:hAnsi="Arial" w:cs="Arial"/>
          <w:b w:val="0"/>
          <w:szCs w:val="24"/>
          <w:shd w:val="clear" w:color="auto" w:fill="FFFFFF"/>
        </w:rPr>
      </w:pPr>
      <w:r w:rsidRPr="0097134E">
        <w:rPr>
          <w:rFonts w:ascii="Arial" w:hAnsi="Arial" w:cs="Arial"/>
          <w:b w:val="0"/>
          <w:szCs w:val="24"/>
          <w:shd w:val="clear" w:color="auto" w:fill="FFFFFF"/>
        </w:rPr>
        <w:t xml:space="preserve">Para entender o excesso de peso é necessário levar em consideração as variáveis mais importantes como estilo de vida, atividades físicas, dieta e hábitos familiares </w:t>
      </w:r>
      <w:r w:rsidR="009A244F" w:rsidRPr="0097134E">
        <w:rPr>
          <w:rFonts w:ascii="Arial" w:hAnsi="Arial" w:cs="Arial"/>
          <w:b w:val="0"/>
          <w:szCs w:val="24"/>
          <w:shd w:val="clear" w:color="auto" w:fill="FFFFFF"/>
        </w:rPr>
        <w:t>(11).</w:t>
      </w:r>
      <w:r w:rsidRPr="0097134E">
        <w:rPr>
          <w:rFonts w:ascii="Arial" w:hAnsi="Arial" w:cs="Arial"/>
          <w:b w:val="0"/>
          <w:szCs w:val="24"/>
          <w:shd w:val="clear" w:color="auto" w:fill="FFFFFF"/>
        </w:rPr>
        <w:t xml:space="preserve"> </w:t>
      </w:r>
      <w:r w:rsidR="009A244F" w:rsidRPr="0097134E">
        <w:rPr>
          <w:rFonts w:ascii="Arial" w:hAnsi="Arial" w:cs="Arial"/>
          <w:b w:val="0"/>
          <w:szCs w:val="24"/>
          <w:shd w:val="clear" w:color="auto" w:fill="FFFFFF"/>
        </w:rPr>
        <w:t>S</w:t>
      </w:r>
      <w:r w:rsidRPr="0097134E">
        <w:rPr>
          <w:rFonts w:ascii="Arial" w:hAnsi="Arial" w:cs="Arial"/>
          <w:b w:val="0"/>
          <w:szCs w:val="24"/>
          <w:shd w:val="clear" w:color="auto" w:fill="FFFFFF"/>
        </w:rPr>
        <w:t>endo assim</w:t>
      </w:r>
      <w:r w:rsidR="000A2EA3" w:rsidRPr="0097134E">
        <w:rPr>
          <w:rFonts w:ascii="Arial" w:hAnsi="Arial" w:cs="Arial"/>
          <w:b w:val="0"/>
          <w:szCs w:val="24"/>
          <w:shd w:val="clear" w:color="auto" w:fill="FFFFFF"/>
        </w:rPr>
        <w:t>,</w:t>
      </w:r>
      <w:r w:rsidRPr="0097134E">
        <w:rPr>
          <w:rFonts w:ascii="Arial" w:hAnsi="Arial" w:cs="Arial"/>
          <w:b w:val="0"/>
          <w:szCs w:val="24"/>
          <w:shd w:val="clear" w:color="auto" w:fill="FFFFFF"/>
        </w:rPr>
        <w:t xml:space="preserve"> torna</w:t>
      </w:r>
      <w:r w:rsidR="000D365F" w:rsidRPr="0097134E">
        <w:rPr>
          <w:rFonts w:ascii="Arial" w:hAnsi="Arial" w:cs="Arial"/>
          <w:b w:val="0"/>
          <w:szCs w:val="24"/>
          <w:shd w:val="clear" w:color="auto" w:fill="FFFFFF"/>
        </w:rPr>
        <w:t>-</w:t>
      </w:r>
      <w:r w:rsidRPr="0097134E">
        <w:rPr>
          <w:rFonts w:ascii="Arial" w:hAnsi="Arial" w:cs="Arial"/>
          <w:b w:val="0"/>
          <w:szCs w:val="24"/>
          <w:shd w:val="clear" w:color="auto" w:fill="FFFFFF"/>
        </w:rPr>
        <w:t xml:space="preserve">se de extrema importância  a avaliação do impacto que a escola de ensino integral tem na qualidade de vida dos adeptos desse método de ensino que estará presente em até 50% das escolas públicas brasileiras </w:t>
      </w:r>
      <w:r w:rsidR="00FB0203" w:rsidRPr="0097134E">
        <w:rPr>
          <w:rFonts w:ascii="Arial" w:hAnsi="Arial" w:cs="Arial"/>
          <w:b w:val="0"/>
          <w:szCs w:val="24"/>
          <w:shd w:val="clear" w:color="auto" w:fill="FFFFFF"/>
        </w:rPr>
        <w:t>(7).</w:t>
      </w:r>
    </w:p>
    <w:p w14:paraId="5EDEB5CC" w14:textId="77777777" w:rsidR="00CD5409" w:rsidRPr="0097134E" w:rsidRDefault="00CD5409" w:rsidP="007E69A7">
      <w:pPr>
        <w:pStyle w:val="Corpodetexto2"/>
        <w:jc w:val="both"/>
        <w:rPr>
          <w:rFonts w:ascii="Arial" w:hAnsi="Arial" w:cs="Arial"/>
          <w:bCs w:val="0"/>
          <w:color w:val="auto"/>
          <w:szCs w:val="24"/>
        </w:rPr>
      </w:pPr>
    </w:p>
    <w:p w14:paraId="4EADF11A" w14:textId="20F14B85" w:rsidR="00FB102C" w:rsidRPr="0097134E" w:rsidRDefault="00FB102C" w:rsidP="007E69A7">
      <w:pPr>
        <w:pStyle w:val="Corpodetexto2"/>
        <w:jc w:val="both"/>
        <w:rPr>
          <w:rFonts w:ascii="Arial" w:hAnsi="Arial" w:cs="Arial"/>
          <w:bCs w:val="0"/>
          <w:color w:val="auto"/>
          <w:szCs w:val="24"/>
        </w:rPr>
      </w:pPr>
      <w:r w:rsidRPr="0097134E">
        <w:rPr>
          <w:rFonts w:ascii="Arial" w:hAnsi="Arial" w:cs="Arial"/>
          <w:bCs w:val="0"/>
          <w:color w:val="auto"/>
          <w:szCs w:val="24"/>
        </w:rPr>
        <w:t>CONCLUSÃO</w:t>
      </w:r>
    </w:p>
    <w:p w14:paraId="63EB032F" w14:textId="77777777" w:rsidR="00CD5409" w:rsidRPr="0097134E" w:rsidRDefault="00CD5409" w:rsidP="007E69A7">
      <w:pPr>
        <w:pStyle w:val="Corpodetexto2"/>
        <w:jc w:val="both"/>
        <w:rPr>
          <w:rFonts w:ascii="Arial" w:hAnsi="Arial" w:cs="Arial"/>
          <w:bCs w:val="0"/>
          <w:color w:val="auto"/>
          <w:szCs w:val="24"/>
        </w:rPr>
      </w:pPr>
    </w:p>
    <w:p w14:paraId="083C07A8" w14:textId="415194EA" w:rsidR="000A2EA3" w:rsidRPr="0097134E" w:rsidRDefault="00734E78" w:rsidP="007E69A7">
      <w:pPr>
        <w:pStyle w:val="Corpodetexto2"/>
        <w:ind w:firstLine="1134"/>
        <w:jc w:val="both"/>
        <w:rPr>
          <w:rFonts w:ascii="Arial" w:hAnsi="Arial" w:cs="Arial"/>
          <w:b w:val="0"/>
          <w:szCs w:val="24"/>
          <w:shd w:val="clear" w:color="auto" w:fill="FFFFFF"/>
        </w:rPr>
      </w:pPr>
      <w:r w:rsidRPr="0097134E">
        <w:rPr>
          <w:rFonts w:ascii="Arial" w:hAnsi="Arial" w:cs="Arial"/>
          <w:b w:val="0"/>
          <w:szCs w:val="24"/>
          <w:shd w:val="clear" w:color="auto" w:fill="FFFFFF"/>
        </w:rPr>
        <w:t>No presente estudo c</w:t>
      </w:r>
      <w:r w:rsidR="00BA73C7" w:rsidRPr="0097134E">
        <w:rPr>
          <w:rFonts w:ascii="Arial" w:hAnsi="Arial" w:cs="Arial"/>
          <w:b w:val="0"/>
          <w:szCs w:val="24"/>
          <w:shd w:val="clear" w:color="auto" w:fill="FFFFFF"/>
        </w:rPr>
        <w:t>oncluiu-se que há um aumento da m</w:t>
      </w:r>
      <w:r w:rsidR="000D365F" w:rsidRPr="0097134E">
        <w:rPr>
          <w:rFonts w:ascii="Arial" w:hAnsi="Arial" w:cs="Arial"/>
          <w:b w:val="0"/>
          <w:szCs w:val="24"/>
          <w:shd w:val="clear" w:color="auto" w:fill="FFFFFF"/>
        </w:rPr>
        <w:t>é</w:t>
      </w:r>
      <w:r w:rsidR="00BA73C7" w:rsidRPr="0097134E">
        <w:rPr>
          <w:rFonts w:ascii="Arial" w:hAnsi="Arial" w:cs="Arial"/>
          <w:b w:val="0"/>
          <w:szCs w:val="24"/>
          <w:shd w:val="clear" w:color="auto" w:fill="FFFFFF"/>
        </w:rPr>
        <w:t xml:space="preserve">dia de peso </w:t>
      </w:r>
      <w:r w:rsidRPr="0097134E">
        <w:rPr>
          <w:rFonts w:ascii="Arial" w:hAnsi="Arial" w:cs="Arial"/>
          <w:b w:val="0"/>
          <w:szCs w:val="24"/>
          <w:shd w:val="clear" w:color="auto" w:fill="FFFFFF"/>
        </w:rPr>
        <w:t>das meninas que cursavam</w:t>
      </w:r>
      <w:r w:rsidR="00BA73C7" w:rsidRPr="0097134E">
        <w:rPr>
          <w:rFonts w:ascii="Arial" w:hAnsi="Arial" w:cs="Arial"/>
          <w:b w:val="0"/>
          <w:szCs w:val="24"/>
          <w:shd w:val="clear" w:color="auto" w:fill="FFFFFF"/>
        </w:rPr>
        <w:t xml:space="preserve"> o terceiro ano do ensino médio integral comparado </w:t>
      </w:r>
      <w:r w:rsidRPr="0097134E">
        <w:rPr>
          <w:rFonts w:ascii="Arial" w:hAnsi="Arial" w:cs="Arial"/>
          <w:b w:val="0"/>
          <w:szCs w:val="24"/>
          <w:shd w:val="clear" w:color="auto" w:fill="FFFFFF"/>
        </w:rPr>
        <w:t xml:space="preserve">com as do </w:t>
      </w:r>
      <w:r w:rsidR="00BA73C7" w:rsidRPr="0097134E">
        <w:rPr>
          <w:rFonts w:ascii="Arial" w:hAnsi="Arial" w:cs="Arial"/>
          <w:b w:val="0"/>
          <w:szCs w:val="24"/>
          <w:shd w:val="clear" w:color="auto" w:fill="FFFFFF"/>
        </w:rPr>
        <w:t>ensino regular.</w:t>
      </w:r>
      <w:r w:rsidRPr="0097134E">
        <w:rPr>
          <w:rFonts w:ascii="Arial" w:hAnsi="Arial" w:cs="Arial"/>
          <w:b w:val="0"/>
          <w:szCs w:val="24"/>
          <w:shd w:val="clear" w:color="auto" w:fill="FFFFFF"/>
        </w:rPr>
        <w:t xml:space="preserve"> Em relação as demais </w:t>
      </w:r>
      <w:r w:rsidR="005972B0" w:rsidRPr="0097134E">
        <w:rPr>
          <w:rFonts w:ascii="Arial" w:hAnsi="Arial" w:cs="Arial"/>
          <w:b w:val="0"/>
          <w:szCs w:val="24"/>
          <w:shd w:val="clear" w:color="auto" w:fill="FFFFFF"/>
        </w:rPr>
        <w:t>variáveis estuda</w:t>
      </w:r>
      <w:r w:rsidR="00A9756A">
        <w:rPr>
          <w:rFonts w:ascii="Arial" w:hAnsi="Arial" w:cs="Arial"/>
          <w:b w:val="0"/>
          <w:szCs w:val="24"/>
          <w:shd w:val="clear" w:color="auto" w:fill="FFFFFF"/>
        </w:rPr>
        <w:t>da</w:t>
      </w:r>
      <w:r w:rsidR="005972B0" w:rsidRPr="0097134E">
        <w:rPr>
          <w:rFonts w:ascii="Arial" w:hAnsi="Arial" w:cs="Arial"/>
          <w:b w:val="0"/>
          <w:szCs w:val="24"/>
          <w:shd w:val="clear" w:color="auto" w:fill="FFFFFF"/>
        </w:rPr>
        <w:t>s</w:t>
      </w:r>
      <w:r w:rsidRPr="0097134E">
        <w:rPr>
          <w:rFonts w:ascii="Arial" w:hAnsi="Arial" w:cs="Arial"/>
          <w:b w:val="0"/>
          <w:szCs w:val="24"/>
          <w:shd w:val="clear" w:color="auto" w:fill="FFFFFF"/>
        </w:rPr>
        <w:t>, não fo</w:t>
      </w:r>
      <w:r w:rsidR="00D81315" w:rsidRPr="0097134E">
        <w:rPr>
          <w:rFonts w:ascii="Arial" w:hAnsi="Arial" w:cs="Arial"/>
          <w:b w:val="0"/>
          <w:szCs w:val="24"/>
          <w:shd w:val="clear" w:color="auto" w:fill="FFFFFF"/>
        </w:rPr>
        <w:t>ram</w:t>
      </w:r>
      <w:r w:rsidRPr="0097134E">
        <w:rPr>
          <w:rFonts w:ascii="Arial" w:hAnsi="Arial" w:cs="Arial"/>
          <w:b w:val="0"/>
          <w:szCs w:val="24"/>
          <w:shd w:val="clear" w:color="auto" w:fill="FFFFFF"/>
        </w:rPr>
        <w:t xml:space="preserve"> encontrada</w:t>
      </w:r>
      <w:r w:rsidR="00D81315" w:rsidRPr="0097134E">
        <w:rPr>
          <w:rFonts w:ascii="Arial" w:hAnsi="Arial" w:cs="Arial"/>
          <w:b w:val="0"/>
          <w:szCs w:val="24"/>
          <w:shd w:val="clear" w:color="auto" w:fill="FFFFFF"/>
        </w:rPr>
        <w:t>s alterações que apresentassem alguma relevância estat</w:t>
      </w:r>
      <w:r w:rsidR="000D365F" w:rsidRPr="0097134E">
        <w:rPr>
          <w:rFonts w:ascii="Arial" w:hAnsi="Arial" w:cs="Arial"/>
          <w:b w:val="0"/>
          <w:szCs w:val="24"/>
          <w:shd w:val="clear" w:color="auto" w:fill="FFFFFF"/>
        </w:rPr>
        <w:t>í</w:t>
      </w:r>
      <w:r w:rsidR="00D81315" w:rsidRPr="0097134E">
        <w:rPr>
          <w:rFonts w:ascii="Arial" w:hAnsi="Arial" w:cs="Arial"/>
          <w:b w:val="0"/>
          <w:szCs w:val="24"/>
          <w:shd w:val="clear" w:color="auto" w:fill="FFFFFF"/>
        </w:rPr>
        <w:t>stica.</w:t>
      </w:r>
      <w:r w:rsidR="005972B0" w:rsidRPr="0097134E">
        <w:rPr>
          <w:rFonts w:ascii="Arial" w:hAnsi="Arial" w:cs="Arial"/>
          <w:b w:val="0"/>
          <w:szCs w:val="24"/>
          <w:shd w:val="clear" w:color="auto" w:fill="FFFFFF"/>
        </w:rPr>
        <w:t xml:space="preserve"> </w:t>
      </w:r>
      <w:r w:rsidR="00BA73C7" w:rsidRPr="0097134E">
        <w:rPr>
          <w:rFonts w:ascii="Arial" w:hAnsi="Arial" w:cs="Arial"/>
          <w:b w:val="0"/>
          <w:szCs w:val="24"/>
          <w:shd w:val="clear" w:color="auto" w:fill="FFFFFF"/>
        </w:rPr>
        <w:t>Uma possível, e provável, explicação seria que durante a permanência integral na escola não há con</w:t>
      </w:r>
      <w:r w:rsidR="00A9756A">
        <w:rPr>
          <w:rFonts w:ascii="Arial" w:hAnsi="Arial" w:cs="Arial"/>
          <w:b w:val="0"/>
          <w:szCs w:val="24"/>
          <w:shd w:val="clear" w:color="auto" w:fill="FFFFFF"/>
        </w:rPr>
        <w:t>trole de todas as alimentações</w:t>
      </w:r>
      <w:r w:rsidR="00BA73C7" w:rsidRPr="0097134E">
        <w:rPr>
          <w:rFonts w:ascii="Arial" w:hAnsi="Arial" w:cs="Arial"/>
          <w:b w:val="0"/>
          <w:szCs w:val="24"/>
          <w:shd w:val="clear" w:color="auto" w:fill="FFFFFF"/>
        </w:rPr>
        <w:t>, levando os estudantes a abusarem de lanches industrializados, não seguindo a dieta recomendada para a idade.</w:t>
      </w:r>
    </w:p>
    <w:p w14:paraId="37D42E09" w14:textId="77777777" w:rsidR="00AA7AFE" w:rsidRPr="0097134E" w:rsidRDefault="00AA7AFE" w:rsidP="007E69A7">
      <w:pPr>
        <w:pStyle w:val="Corpodetexto2"/>
        <w:jc w:val="both"/>
        <w:rPr>
          <w:rFonts w:ascii="Arial" w:hAnsi="Arial" w:cs="Arial"/>
          <w:szCs w:val="24"/>
        </w:rPr>
      </w:pPr>
    </w:p>
    <w:p w14:paraId="61BB22B1" w14:textId="77777777" w:rsidR="00CD5409" w:rsidRPr="0097134E" w:rsidRDefault="00CD5409" w:rsidP="007E69A7">
      <w:pPr>
        <w:pStyle w:val="Corpodetexto2"/>
        <w:jc w:val="both"/>
        <w:rPr>
          <w:rFonts w:ascii="Arial" w:hAnsi="Arial" w:cs="Arial"/>
          <w:b w:val="0"/>
          <w:szCs w:val="24"/>
          <w:shd w:val="clear" w:color="auto" w:fill="FFFFFF"/>
        </w:rPr>
      </w:pPr>
    </w:p>
    <w:p w14:paraId="1943E255" w14:textId="632ED171" w:rsidR="000A2EA3" w:rsidRPr="0097134E" w:rsidRDefault="000A2EA3" w:rsidP="007E69A7">
      <w:pPr>
        <w:pStyle w:val="Corpodetexto2"/>
        <w:jc w:val="both"/>
        <w:rPr>
          <w:rFonts w:ascii="Arial" w:hAnsi="Arial" w:cs="Arial"/>
          <w:szCs w:val="24"/>
        </w:rPr>
      </w:pPr>
      <w:r w:rsidRPr="0097134E">
        <w:rPr>
          <w:rFonts w:ascii="Arial" w:hAnsi="Arial" w:cs="Arial"/>
          <w:szCs w:val="24"/>
        </w:rPr>
        <w:t>LIMITAÇÃO DO ESTUDO</w:t>
      </w:r>
    </w:p>
    <w:p w14:paraId="5025F731" w14:textId="13FA9AD5" w:rsidR="0058449A" w:rsidRPr="0097134E" w:rsidRDefault="000A2EA3" w:rsidP="007E69A7">
      <w:pPr>
        <w:pStyle w:val="Corpodetexto2"/>
        <w:ind w:firstLine="1134"/>
        <w:jc w:val="both"/>
        <w:rPr>
          <w:rFonts w:ascii="Arial" w:hAnsi="Arial" w:cs="Arial"/>
          <w:szCs w:val="24"/>
        </w:rPr>
      </w:pPr>
      <w:r w:rsidRPr="0097134E">
        <w:rPr>
          <w:rFonts w:ascii="Arial" w:hAnsi="Arial" w:cs="Arial"/>
          <w:b w:val="0"/>
          <w:szCs w:val="24"/>
          <w:shd w:val="clear" w:color="auto" w:fill="FFFFFF"/>
        </w:rPr>
        <w:t xml:space="preserve">Diante disso, os autores do presente estudo acreditam que uma análise apresentando uma maior quantidade de indivíduos poderia revelar dados mais consistentes para este tipo de análise antropométrica.  </w:t>
      </w:r>
    </w:p>
    <w:p w14:paraId="7399782E" w14:textId="77777777" w:rsidR="0058449A" w:rsidRPr="0097134E" w:rsidRDefault="0058449A" w:rsidP="007E69A7">
      <w:pPr>
        <w:pStyle w:val="Corpodetexto2"/>
        <w:jc w:val="both"/>
        <w:rPr>
          <w:rFonts w:ascii="Arial" w:hAnsi="Arial" w:cs="Arial"/>
          <w:szCs w:val="24"/>
        </w:rPr>
      </w:pPr>
    </w:p>
    <w:p w14:paraId="56CD7B7E" w14:textId="320721D8" w:rsidR="000F19D0" w:rsidRPr="0097134E" w:rsidRDefault="0058449A" w:rsidP="007E69A7">
      <w:pPr>
        <w:pStyle w:val="Corpodetexto2"/>
        <w:jc w:val="both"/>
        <w:rPr>
          <w:rFonts w:ascii="Arial" w:hAnsi="Arial" w:cs="Arial"/>
          <w:b w:val="0"/>
          <w:szCs w:val="24"/>
          <w:shd w:val="clear" w:color="auto" w:fill="FFFFFF"/>
        </w:rPr>
      </w:pPr>
      <w:r w:rsidRPr="0097134E">
        <w:rPr>
          <w:rFonts w:ascii="Arial" w:hAnsi="Arial" w:cs="Arial"/>
          <w:szCs w:val="24"/>
        </w:rPr>
        <w:t xml:space="preserve">REFERÊNCIAS </w:t>
      </w:r>
    </w:p>
    <w:p w14:paraId="0AAE0AA0" w14:textId="51DA47E2" w:rsidR="00FA2D56" w:rsidRPr="0097134E" w:rsidRDefault="00FA2D56" w:rsidP="000F19D0">
      <w:pPr>
        <w:spacing w:after="200" w:line="276" w:lineRule="auto"/>
        <w:rPr>
          <w:rFonts w:ascii="Arial" w:hAnsi="Arial" w:cs="Arial"/>
          <w:highlight w:val="yellow"/>
        </w:rPr>
      </w:pPr>
    </w:p>
    <w:p w14:paraId="1394B28A" w14:textId="703BA4C0" w:rsidR="001A2C60" w:rsidRPr="0097134E" w:rsidRDefault="001A2C60" w:rsidP="007E69A7">
      <w:pPr>
        <w:rPr>
          <w:rFonts w:ascii="Arial" w:hAnsi="Arial" w:cs="Arial"/>
          <w:color w:val="000000" w:themeColor="text1"/>
        </w:rPr>
      </w:pPr>
      <w:r w:rsidRPr="0097134E">
        <w:rPr>
          <w:rFonts w:ascii="Arial" w:hAnsi="Arial" w:cs="Arial"/>
        </w:rPr>
        <w:t>1. ALMEIDA, C</w:t>
      </w:r>
      <w:r w:rsidR="00E0492B" w:rsidRPr="0097134E">
        <w:rPr>
          <w:rFonts w:ascii="Arial" w:hAnsi="Arial" w:cs="Arial"/>
        </w:rPr>
        <w:t xml:space="preserve"> D</w:t>
      </w:r>
      <w:r w:rsidRPr="0097134E">
        <w:rPr>
          <w:rFonts w:ascii="Arial" w:hAnsi="Arial" w:cs="Arial"/>
        </w:rPr>
        <w:t>; MORAIS, G; PINTO, E. Resultados do acompanhamento nutricional de crianças e adolescentes com sobrecarga ponderal nos cuidados de saúde primários. Acta Port Nutr,  Porto ,  n. 15, p. 12-18,  dez.  2018 . Disponível em</w:t>
      </w:r>
      <w:r w:rsidR="0058449A" w:rsidRPr="0097134E">
        <w:rPr>
          <w:rFonts w:ascii="Arial" w:hAnsi="Arial" w:cs="Arial"/>
        </w:rPr>
        <w:t xml:space="preserve">  </w:t>
      </w:r>
      <w:r w:rsidR="0058449A" w:rsidRPr="0097134E">
        <w:rPr>
          <w:rFonts w:ascii="Arial" w:hAnsi="Arial" w:cs="Arial"/>
          <w:color w:val="000000" w:themeColor="text1"/>
        </w:rPr>
        <w:t>&lt;</w:t>
      </w:r>
      <w:hyperlink r:id="rId10" w:history="1">
        <w:r w:rsidR="0058449A" w:rsidRPr="0097134E">
          <w:rPr>
            <w:rStyle w:val="Hyperlink"/>
            <w:rFonts w:ascii="Arial" w:hAnsi="Arial" w:cs="Arial"/>
            <w:color w:val="000000" w:themeColor="text1"/>
            <w:u w:val="none"/>
          </w:rPr>
          <w:t>http://www.scielo.mec.pt/scielo.php?script=sci_arttext&amp;pid=S218359852018000400003&amp;lng=pt&amp;nrm=io</w:t>
        </w:r>
      </w:hyperlink>
      <w:r w:rsidR="0058449A" w:rsidRPr="0097134E">
        <w:rPr>
          <w:rFonts w:ascii="Arial" w:hAnsi="Arial" w:cs="Arial"/>
          <w:color w:val="000000" w:themeColor="text1"/>
        </w:rPr>
        <w:t>&gt;.</w:t>
      </w:r>
    </w:p>
    <w:p w14:paraId="3DAB79B4" w14:textId="77777777" w:rsidR="00A85946" w:rsidRPr="0097134E" w:rsidRDefault="00A85946" w:rsidP="007E69A7">
      <w:pPr>
        <w:rPr>
          <w:rFonts w:ascii="Arial" w:hAnsi="Arial" w:cs="Arial"/>
          <w:color w:val="000000" w:themeColor="text1"/>
        </w:rPr>
      </w:pPr>
    </w:p>
    <w:p w14:paraId="78596835" w14:textId="77777777" w:rsidR="0058449A" w:rsidRPr="0097134E" w:rsidRDefault="0058449A">
      <w:pPr>
        <w:autoSpaceDE w:val="0"/>
        <w:autoSpaceDN w:val="0"/>
        <w:adjustRightInd w:val="0"/>
        <w:rPr>
          <w:rFonts w:ascii="Arial" w:hAnsi="Arial" w:cs="Arial"/>
        </w:rPr>
      </w:pPr>
      <w:r w:rsidRPr="0097134E">
        <w:rPr>
          <w:rFonts w:ascii="Arial" w:hAnsi="Arial" w:cs="Arial"/>
        </w:rPr>
        <w:t>2. QUÉTELET, A. Physique sociale. Antropométrie ou mesure des différentes facultés de l’homme.Bruxelles: C. Muquardt; 1869.</w:t>
      </w:r>
    </w:p>
    <w:p w14:paraId="2604890C" w14:textId="77777777" w:rsidR="0058449A" w:rsidRPr="0097134E" w:rsidRDefault="0058449A">
      <w:pPr>
        <w:autoSpaceDE w:val="0"/>
        <w:autoSpaceDN w:val="0"/>
        <w:adjustRightInd w:val="0"/>
        <w:rPr>
          <w:rFonts w:ascii="Arial" w:hAnsi="Arial" w:cs="Arial"/>
        </w:rPr>
      </w:pPr>
    </w:p>
    <w:p w14:paraId="08DC931F" w14:textId="44896521" w:rsidR="0058449A" w:rsidRPr="0097134E" w:rsidRDefault="0058449A">
      <w:pPr>
        <w:autoSpaceDE w:val="0"/>
        <w:autoSpaceDN w:val="0"/>
        <w:adjustRightInd w:val="0"/>
        <w:rPr>
          <w:rFonts w:ascii="Arial" w:hAnsi="Arial" w:cs="Arial"/>
        </w:rPr>
      </w:pPr>
      <w:r w:rsidRPr="0097134E">
        <w:rPr>
          <w:rFonts w:ascii="Arial" w:hAnsi="Arial" w:cs="Arial"/>
        </w:rPr>
        <w:t>3. GOMES, F da S.</w:t>
      </w:r>
      <w:r w:rsidR="00E0492B" w:rsidRPr="0097134E">
        <w:rPr>
          <w:rFonts w:ascii="Arial" w:hAnsi="Arial" w:cs="Arial"/>
        </w:rPr>
        <w:t xml:space="preserve"> </w:t>
      </w:r>
      <w:r w:rsidRPr="0097134E">
        <w:rPr>
          <w:rStyle w:val="article-title"/>
          <w:rFonts w:ascii="Arial" w:hAnsi="Arial" w:cs="Arial"/>
        </w:rPr>
        <w:t>Antropometria como ferramenta de avaliação do estado nutricional coletivo de adolescentes.</w:t>
      </w:r>
      <w:r w:rsidRPr="0097134E">
        <w:rPr>
          <w:rStyle w:val="apple-converted-space"/>
          <w:rFonts w:ascii="Arial" w:hAnsi="Arial" w:cs="Arial"/>
          <w:i/>
          <w:iCs/>
        </w:rPr>
        <w:t> </w:t>
      </w:r>
      <w:r w:rsidRPr="0097134E">
        <w:rPr>
          <w:rFonts w:ascii="Arial" w:hAnsi="Arial" w:cs="Arial"/>
          <w:i/>
          <w:iCs/>
        </w:rPr>
        <w:t>Rev. Nutr</w:t>
      </w:r>
      <w:r w:rsidRPr="0097134E">
        <w:rPr>
          <w:rFonts w:ascii="Arial" w:hAnsi="Arial" w:cs="Arial"/>
        </w:rPr>
        <w:t xml:space="preserve">. 2010, vol.23, n.4. Disponível em: </w:t>
      </w:r>
      <w:r w:rsidR="008E7113" w:rsidRPr="0097134E">
        <w:rPr>
          <w:rFonts w:ascii="Arial" w:hAnsi="Arial" w:cs="Arial"/>
        </w:rPr>
        <w:t>&lt;</w:t>
      </w:r>
      <w:hyperlink r:id="rId11" w:history="1">
        <w:r w:rsidRPr="0097134E">
          <w:rPr>
            <w:rStyle w:val="Hyperlink"/>
            <w:rFonts w:ascii="Arial" w:eastAsia="Arial Unicode MS" w:hAnsi="Arial" w:cs="Arial"/>
            <w:color w:val="auto"/>
            <w:u w:val="none"/>
          </w:rPr>
          <w:t>http://www.scielo.br/scielo.php?script=sci_arttext&amp;pid=S1415-52732010000400010</w:t>
        </w:r>
      </w:hyperlink>
      <w:r w:rsidR="008E7113" w:rsidRPr="0097134E">
        <w:rPr>
          <w:rStyle w:val="Hyperlink"/>
          <w:rFonts w:ascii="Arial" w:eastAsia="Arial Unicode MS" w:hAnsi="Arial" w:cs="Arial"/>
          <w:color w:val="auto"/>
          <w:u w:val="none"/>
        </w:rPr>
        <w:t>&gt;</w:t>
      </w:r>
    </w:p>
    <w:p w14:paraId="1104B986" w14:textId="77777777" w:rsidR="0058449A" w:rsidRPr="0097134E" w:rsidRDefault="0058449A">
      <w:pPr>
        <w:autoSpaceDE w:val="0"/>
        <w:autoSpaceDN w:val="0"/>
        <w:adjustRightInd w:val="0"/>
        <w:rPr>
          <w:rFonts w:ascii="Arial" w:hAnsi="Arial" w:cs="Arial"/>
        </w:rPr>
      </w:pPr>
    </w:p>
    <w:p w14:paraId="58B68BE1" w14:textId="58C240E0" w:rsidR="0058449A" w:rsidRPr="0097134E" w:rsidRDefault="0058449A" w:rsidP="007E69A7">
      <w:pPr>
        <w:rPr>
          <w:rFonts w:ascii="Arial" w:hAnsi="Arial" w:cs="Arial"/>
        </w:rPr>
      </w:pPr>
      <w:r w:rsidRPr="0097134E">
        <w:rPr>
          <w:rFonts w:ascii="Arial" w:hAnsi="Arial" w:cs="Arial"/>
        </w:rPr>
        <w:t>4. CORDEIRO, J</w:t>
      </w:r>
      <w:r w:rsidR="002177B5" w:rsidRPr="0097134E">
        <w:rPr>
          <w:rFonts w:ascii="Arial" w:hAnsi="Arial" w:cs="Arial"/>
        </w:rPr>
        <w:t xml:space="preserve"> P</w:t>
      </w:r>
      <w:r w:rsidRPr="0097134E">
        <w:rPr>
          <w:rFonts w:ascii="Arial" w:hAnsi="Arial" w:cs="Arial"/>
        </w:rPr>
        <w:t xml:space="preserve"> et al. </w:t>
      </w:r>
      <w:r w:rsidR="002177B5" w:rsidRPr="0097134E">
        <w:rPr>
          <w:rFonts w:ascii="Arial" w:hAnsi="Arial" w:cs="Arial"/>
        </w:rPr>
        <w:t>Hipertensão Em Estudantes Da Rede Pública De Vitória/Es: Influência Do Sobrepeso E Obesidade</w:t>
      </w:r>
      <w:r w:rsidRPr="0097134E">
        <w:rPr>
          <w:rFonts w:ascii="Arial" w:hAnsi="Arial" w:cs="Arial"/>
        </w:rPr>
        <w:t xml:space="preserve">. </w:t>
      </w:r>
      <w:r w:rsidRPr="0097134E">
        <w:rPr>
          <w:rFonts w:ascii="Arial" w:hAnsi="Arial" w:cs="Arial"/>
          <w:i/>
        </w:rPr>
        <w:t>Revista Brasileira de Medicina do Esporte</w:t>
      </w:r>
      <w:r w:rsidRPr="0097134E">
        <w:rPr>
          <w:rFonts w:ascii="Arial" w:hAnsi="Arial" w:cs="Arial"/>
        </w:rPr>
        <w:t xml:space="preserve">, [s.l.], v. 22, n. 1, p.59-65, </w:t>
      </w:r>
      <w:r w:rsidR="006F6C70" w:rsidRPr="0097134E">
        <w:rPr>
          <w:rFonts w:ascii="Arial" w:hAnsi="Arial" w:cs="Arial"/>
        </w:rPr>
        <w:t>fev. 2016. FapUNIFESP (SciELO). Disponível em: &lt;</w:t>
      </w:r>
      <w:r w:rsidRPr="0097134E">
        <w:rPr>
          <w:rFonts w:ascii="Arial" w:hAnsi="Arial" w:cs="Arial"/>
        </w:rPr>
        <w:t>http://dx.doi.org/10.1590/1517-869220162201134305</w:t>
      </w:r>
      <w:r w:rsidR="006F6C70" w:rsidRPr="0097134E">
        <w:rPr>
          <w:rFonts w:ascii="Arial" w:hAnsi="Arial" w:cs="Arial"/>
        </w:rPr>
        <w:t>&gt;</w:t>
      </w:r>
      <w:r w:rsidRPr="0097134E">
        <w:rPr>
          <w:rFonts w:ascii="Arial" w:hAnsi="Arial" w:cs="Arial"/>
        </w:rPr>
        <w:t>.</w:t>
      </w:r>
    </w:p>
    <w:p w14:paraId="2F3FB0FC" w14:textId="77777777" w:rsidR="006F6C70" w:rsidRPr="0097134E" w:rsidRDefault="006F6C70" w:rsidP="007E69A7">
      <w:pPr>
        <w:rPr>
          <w:rFonts w:ascii="Arial" w:hAnsi="Arial" w:cs="Arial"/>
        </w:rPr>
      </w:pPr>
    </w:p>
    <w:p w14:paraId="5732152D" w14:textId="68E8402A" w:rsidR="0058449A" w:rsidRPr="0097134E" w:rsidRDefault="0058449A" w:rsidP="007E69A7">
      <w:pPr>
        <w:rPr>
          <w:rFonts w:ascii="Arial" w:hAnsi="Arial" w:cs="Arial"/>
        </w:rPr>
      </w:pPr>
      <w:r w:rsidRPr="0097134E">
        <w:rPr>
          <w:rFonts w:ascii="Arial" w:hAnsi="Arial" w:cs="Arial"/>
        </w:rPr>
        <w:t xml:space="preserve">5. NAVARRETE, F C. Bajos niveles de rendimiento físico, VO2MAX y elevada prevalencia de obesidad en escolares de 9 a 14 años de edad. Nutrición Hospitalaria, [s.l.], v. 33, n. 5, p.1045-1051, 20 set. 2016. ARAN Ediciones. </w:t>
      </w:r>
      <w:r w:rsidR="006F6C70" w:rsidRPr="0097134E">
        <w:rPr>
          <w:rFonts w:ascii="Arial" w:hAnsi="Arial" w:cs="Arial"/>
        </w:rPr>
        <w:t>Disponível em: &lt;</w:t>
      </w:r>
      <w:hyperlink r:id="rId12" w:history="1">
        <w:r w:rsidRPr="0097134E">
          <w:rPr>
            <w:rStyle w:val="Hyperlink"/>
            <w:rFonts w:ascii="Arial" w:hAnsi="Arial" w:cs="Arial"/>
            <w:color w:val="auto"/>
            <w:u w:val="none"/>
          </w:rPr>
          <w:t>http://dx.doi.org/10.20960/nh.565</w:t>
        </w:r>
      </w:hyperlink>
      <w:r w:rsidR="006F6C70" w:rsidRPr="0097134E">
        <w:rPr>
          <w:rStyle w:val="Hyperlink"/>
          <w:rFonts w:ascii="Arial" w:hAnsi="Arial" w:cs="Arial"/>
          <w:color w:val="auto"/>
          <w:u w:val="none"/>
        </w:rPr>
        <w:t>&gt;</w:t>
      </w:r>
      <w:r w:rsidRPr="0097134E">
        <w:rPr>
          <w:rFonts w:ascii="Arial" w:hAnsi="Arial" w:cs="Arial"/>
        </w:rPr>
        <w:t>.</w:t>
      </w:r>
    </w:p>
    <w:p w14:paraId="6C706FA3" w14:textId="77777777" w:rsidR="006F6C70" w:rsidRPr="0097134E" w:rsidRDefault="006F6C70" w:rsidP="007E69A7">
      <w:pPr>
        <w:rPr>
          <w:rFonts w:ascii="Arial" w:hAnsi="Arial" w:cs="Arial"/>
        </w:rPr>
      </w:pPr>
    </w:p>
    <w:p w14:paraId="376351C4" w14:textId="361399BB" w:rsidR="0058449A" w:rsidRPr="0097134E" w:rsidRDefault="0058449A">
      <w:pPr>
        <w:autoSpaceDE w:val="0"/>
        <w:autoSpaceDN w:val="0"/>
        <w:adjustRightInd w:val="0"/>
        <w:rPr>
          <w:rFonts w:ascii="Arial" w:hAnsi="Arial" w:cs="Arial"/>
        </w:rPr>
      </w:pPr>
      <w:r w:rsidRPr="0097134E">
        <w:rPr>
          <w:rFonts w:ascii="Arial" w:hAnsi="Arial" w:cs="Arial"/>
          <w:lang w:val="en-US"/>
        </w:rPr>
        <w:t>6. BLOCH, K V et al</w:t>
      </w:r>
      <w:r w:rsidRPr="0097134E">
        <w:rPr>
          <w:rFonts w:ascii="Arial" w:hAnsi="Arial" w:cs="Arial"/>
          <w:b/>
          <w:lang w:val="en-US"/>
        </w:rPr>
        <w:t xml:space="preserve">. </w:t>
      </w:r>
      <w:r w:rsidRPr="0097134E">
        <w:rPr>
          <w:rFonts w:ascii="Arial" w:hAnsi="Arial" w:cs="Arial"/>
          <w:lang w:val="en-US"/>
        </w:rPr>
        <w:t xml:space="preserve">ERICA: prevalences of hypertension and obesity in Brazilian adolescents. </w:t>
      </w:r>
      <w:r w:rsidRPr="0097134E">
        <w:rPr>
          <w:rFonts w:ascii="Arial" w:hAnsi="Arial" w:cs="Arial"/>
          <w:i/>
        </w:rPr>
        <w:t>Revista de Saúde Pública</w:t>
      </w:r>
      <w:r w:rsidRPr="0097134E">
        <w:rPr>
          <w:rFonts w:ascii="Arial" w:hAnsi="Arial" w:cs="Arial"/>
        </w:rPr>
        <w:t xml:space="preserve">, [s.l.], v. 50, n. 1, p.1-13, 2016. FapUNIFESP (SciELO). </w:t>
      </w:r>
      <w:r w:rsidR="006F6C70" w:rsidRPr="0097134E">
        <w:rPr>
          <w:rFonts w:ascii="Arial" w:hAnsi="Arial" w:cs="Arial"/>
        </w:rPr>
        <w:t>Disponível em: &lt;</w:t>
      </w:r>
      <w:r w:rsidRPr="0097134E">
        <w:rPr>
          <w:rFonts w:ascii="Arial" w:hAnsi="Arial" w:cs="Arial"/>
        </w:rPr>
        <w:t>http://dx.doi.org/10.1590/s01518-8787.2016050006685</w:t>
      </w:r>
      <w:r w:rsidR="006F6C70" w:rsidRPr="0097134E">
        <w:rPr>
          <w:rFonts w:ascii="Arial" w:hAnsi="Arial" w:cs="Arial"/>
        </w:rPr>
        <w:t>&gt;</w:t>
      </w:r>
    </w:p>
    <w:p w14:paraId="1CE61395" w14:textId="77777777" w:rsidR="006F6C70" w:rsidRPr="0097134E" w:rsidRDefault="006F6C70">
      <w:pPr>
        <w:autoSpaceDE w:val="0"/>
        <w:autoSpaceDN w:val="0"/>
        <w:adjustRightInd w:val="0"/>
        <w:rPr>
          <w:rFonts w:ascii="Arial" w:hAnsi="Arial" w:cs="Arial"/>
        </w:rPr>
      </w:pPr>
    </w:p>
    <w:p w14:paraId="3E0485F0" w14:textId="2EC687BC" w:rsidR="00FA2D56" w:rsidRPr="0097134E" w:rsidRDefault="00D2412A" w:rsidP="007E69A7">
      <w:pPr>
        <w:rPr>
          <w:rFonts w:ascii="Arial" w:hAnsi="Arial" w:cs="Arial"/>
        </w:rPr>
      </w:pPr>
      <w:r w:rsidRPr="0097134E">
        <w:rPr>
          <w:rFonts w:ascii="Arial" w:hAnsi="Arial" w:cs="Arial"/>
        </w:rPr>
        <w:t xml:space="preserve">7. </w:t>
      </w:r>
      <w:r w:rsidR="00FA2D56" w:rsidRPr="0097134E">
        <w:rPr>
          <w:rFonts w:ascii="Arial" w:hAnsi="Arial" w:cs="Arial"/>
        </w:rPr>
        <w:t xml:space="preserve">BRASIL. Ministério da Educação. Secretaria de Educação Básica. Diretoria de Currículos e Educação Integral. Manual operacional de educação integral. Disponível em: </w:t>
      </w:r>
      <w:r w:rsidR="008E7113" w:rsidRPr="0097134E">
        <w:rPr>
          <w:rFonts w:ascii="Arial" w:hAnsi="Arial" w:cs="Arial"/>
        </w:rPr>
        <w:t>&lt;</w:t>
      </w:r>
      <w:r w:rsidR="00FA2D56" w:rsidRPr="0097134E">
        <w:rPr>
          <w:rFonts w:ascii="Arial" w:hAnsi="Arial" w:cs="Arial"/>
        </w:rPr>
        <w:t>http://portal.mec.gov.br/index.php?option=com_docman&amp;view=download&amp;alias=15842-manual-operacional-de-educacao-integral-2014&amp;category_slug=junho-2014-pdf&amp;Itemid=30192</w:t>
      </w:r>
      <w:r w:rsidR="008E7113" w:rsidRPr="0097134E">
        <w:rPr>
          <w:rFonts w:ascii="Arial" w:hAnsi="Arial" w:cs="Arial"/>
        </w:rPr>
        <w:t>&gt;</w:t>
      </w:r>
      <w:r w:rsidR="00FA2D56" w:rsidRPr="0097134E">
        <w:rPr>
          <w:rFonts w:ascii="Arial" w:hAnsi="Arial" w:cs="Arial"/>
        </w:rPr>
        <w:t>. Acesso em: 16 out. 2019.</w:t>
      </w:r>
    </w:p>
    <w:p w14:paraId="278DCA1A" w14:textId="77777777" w:rsidR="00456261" w:rsidRPr="0097134E" w:rsidRDefault="00456261">
      <w:pPr>
        <w:autoSpaceDE w:val="0"/>
        <w:autoSpaceDN w:val="0"/>
        <w:adjustRightInd w:val="0"/>
        <w:rPr>
          <w:rFonts w:ascii="Arial" w:hAnsi="Arial" w:cs="Arial"/>
        </w:rPr>
      </w:pPr>
    </w:p>
    <w:p w14:paraId="53ECA9E3" w14:textId="0FAE13D6" w:rsidR="00D159D6" w:rsidRPr="0097134E" w:rsidRDefault="00FB0203">
      <w:pPr>
        <w:pStyle w:val="PargrafodaLista"/>
        <w:ind w:left="0"/>
        <w:rPr>
          <w:rFonts w:ascii="Arial" w:hAnsi="Arial" w:cs="Arial"/>
          <w:lang w:val="en-US"/>
        </w:rPr>
      </w:pPr>
      <w:r w:rsidRPr="0097134E">
        <w:rPr>
          <w:rFonts w:ascii="Arial" w:hAnsi="Arial" w:cs="Arial"/>
        </w:rPr>
        <w:t xml:space="preserve">8. </w:t>
      </w:r>
      <w:r w:rsidR="00D159D6" w:rsidRPr="0097134E">
        <w:rPr>
          <w:rFonts w:ascii="Arial" w:hAnsi="Arial" w:cs="Arial"/>
        </w:rPr>
        <w:t xml:space="preserve">PETROSKI, EL. Antropometria: técnicas e padronizações. 2ª ed. </w:t>
      </w:r>
      <w:r w:rsidR="00D159D6" w:rsidRPr="0097134E">
        <w:rPr>
          <w:rFonts w:ascii="Arial" w:hAnsi="Arial" w:cs="Arial"/>
          <w:lang w:val="en-US"/>
        </w:rPr>
        <w:t>Porto Alegre: Pallotti, 2003</w:t>
      </w:r>
      <w:r w:rsidR="008E7113" w:rsidRPr="0097134E">
        <w:rPr>
          <w:rFonts w:ascii="Arial" w:hAnsi="Arial" w:cs="Arial"/>
          <w:lang w:val="en-US"/>
        </w:rPr>
        <w:t>.</w:t>
      </w:r>
    </w:p>
    <w:p w14:paraId="64BBBF5B" w14:textId="77777777" w:rsidR="00D159D6" w:rsidRPr="0097134E" w:rsidRDefault="00D159D6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85D8306" w14:textId="6B5A1705" w:rsidR="00E7207E" w:rsidRPr="0097134E" w:rsidRDefault="00FB0203">
      <w:pPr>
        <w:rPr>
          <w:rFonts w:ascii="Arial" w:hAnsi="Arial" w:cs="Arial"/>
          <w:shd w:val="clear" w:color="auto" w:fill="FFFFFF"/>
        </w:rPr>
      </w:pPr>
      <w:r w:rsidRPr="0097134E">
        <w:rPr>
          <w:rFonts w:ascii="Arial" w:hAnsi="Arial" w:cs="Arial"/>
          <w:shd w:val="clear" w:color="auto" w:fill="FFFFFF"/>
          <w:lang w:val="en-US"/>
        </w:rPr>
        <w:t xml:space="preserve">9. </w:t>
      </w:r>
      <w:r w:rsidR="00E7207E" w:rsidRPr="0097134E">
        <w:rPr>
          <w:rFonts w:ascii="Arial" w:hAnsi="Arial" w:cs="Arial"/>
          <w:shd w:val="clear" w:color="auto" w:fill="FFFFFF"/>
          <w:lang w:val="en-US"/>
        </w:rPr>
        <w:t>S</w:t>
      </w:r>
      <w:r w:rsidR="008E7113" w:rsidRPr="0097134E">
        <w:rPr>
          <w:rFonts w:ascii="Arial" w:hAnsi="Arial" w:cs="Arial"/>
          <w:shd w:val="clear" w:color="auto" w:fill="FFFFFF"/>
          <w:lang w:val="en-US"/>
        </w:rPr>
        <w:t>LAUGHTER</w:t>
      </w:r>
      <w:r w:rsidR="00E7207E" w:rsidRPr="0097134E">
        <w:rPr>
          <w:rFonts w:ascii="Arial" w:hAnsi="Arial" w:cs="Arial"/>
          <w:shd w:val="clear" w:color="auto" w:fill="FFFFFF"/>
          <w:lang w:val="en-US"/>
        </w:rPr>
        <w:t xml:space="preserve"> MH, L TG, </w:t>
      </w:r>
      <w:r w:rsidR="008E7113" w:rsidRPr="0097134E">
        <w:rPr>
          <w:rFonts w:ascii="Arial" w:hAnsi="Arial" w:cs="Arial"/>
          <w:shd w:val="clear" w:color="auto" w:fill="FFFFFF"/>
          <w:lang w:val="en-US"/>
        </w:rPr>
        <w:t>BOILEAU</w:t>
      </w:r>
      <w:r w:rsidR="00E7207E" w:rsidRPr="0097134E">
        <w:rPr>
          <w:rFonts w:ascii="Arial" w:hAnsi="Arial" w:cs="Arial"/>
          <w:shd w:val="clear" w:color="auto" w:fill="FFFFFF"/>
          <w:lang w:val="en-US"/>
        </w:rPr>
        <w:t xml:space="preserve"> RA, </w:t>
      </w:r>
      <w:r w:rsidR="008E7113" w:rsidRPr="0097134E">
        <w:rPr>
          <w:rFonts w:ascii="Arial" w:hAnsi="Arial" w:cs="Arial"/>
          <w:shd w:val="clear" w:color="auto" w:fill="FFFFFF"/>
          <w:lang w:val="en-US"/>
        </w:rPr>
        <w:t>HORSWILL</w:t>
      </w:r>
      <w:r w:rsidR="00E7207E" w:rsidRPr="0097134E">
        <w:rPr>
          <w:rFonts w:ascii="Arial" w:hAnsi="Arial" w:cs="Arial"/>
          <w:shd w:val="clear" w:color="auto" w:fill="FFFFFF"/>
          <w:lang w:val="en-US"/>
        </w:rPr>
        <w:t xml:space="preserve"> CA, </w:t>
      </w:r>
      <w:r w:rsidR="008E7113" w:rsidRPr="0097134E">
        <w:rPr>
          <w:rFonts w:ascii="Arial" w:hAnsi="Arial" w:cs="Arial"/>
          <w:shd w:val="clear" w:color="auto" w:fill="FFFFFF"/>
          <w:lang w:val="en-US"/>
        </w:rPr>
        <w:t xml:space="preserve">STILLMAN </w:t>
      </w:r>
      <w:r w:rsidR="00E7207E" w:rsidRPr="0097134E">
        <w:rPr>
          <w:rFonts w:ascii="Arial" w:hAnsi="Arial" w:cs="Arial"/>
          <w:shd w:val="clear" w:color="auto" w:fill="FFFFFF"/>
          <w:lang w:val="en-US"/>
        </w:rPr>
        <w:t xml:space="preserve">RJ, </w:t>
      </w:r>
      <w:r w:rsidR="008E7113" w:rsidRPr="0097134E">
        <w:rPr>
          <w:rFonts w:ascii="Arial" w:hAnsi="Arial" w:cs="Arial"/>
          <w:shd w:val="clear" w:color="auto" w:fill="FFFFFF"/>
          <w:lang w:val="en-US"/>
        </w:rPr>
        <w:t xml:space="preserve">VAN LOAN </w:t>
      </w:r>
      <w:r w:rsidR="00E7207E" w:rsidRPr="0097134E">
        <w:rPr>
          <w:rFonts w:ascii="Arial" w:hAnsi="Arial" w:cs="Arial"/>
          <w:shd w:val="clear" w:color="auto" w:fill="FFFFFF"/>
          <w:lang w:val="en-US"/>
        </w:rPr>
        <w:t xml:space="preserve">MD, et al. Skinfold equations for estimation of body fatness in children and youth. </w:t>
      </w:r>
      <w:r w:rsidR="00E7207E" w:rsidRPr="0097134E">
        <w:rPr>
          <w:rFonts w:ascii="Arial" w:hAnsi="Arial" w:cs="Arial"/>
          <w:shd w:val="clear" w:color="auto" w:fill="FFFFFF"/>
        </w:rPr>
        <w:t>Hum Biol. 1988; 60(5):709-23.</w:t>
      </w:r>
    </w:p>
    <w:p w14:paraId="7171E74D" w14:textId="0C62BC61" w:rsidR="00E261B9" w:rsidRPr="0097134E" w:rsidRDefault="00E261B9">
      <w:pPr>
        <w:rPr>
          <w:rFonts w:ascii="Arial" w:hAnsi="Arial" w:cs="Arial"/>
        </w:rPr>
      </w:pPr>
    </w:p>
    <w:p w14:paraId="11945E63" w14:textId="3A98EE21" w:rsidR="001C5D59" w:rsidRPr="0097134E" w:rsidRDefault="00D2412A">
      <w:pPr>
        <w:rPr>
          <w:rFonts w:ascii="Arial" w:hAnsi="Arial" w:cs="Arial"/>
          <w:lang w:val="en-US"/>
        </w:rPr>
      </w:pPr>
      <w:r w:rsidRPr="0097134E">
        <w:rPr>
          <w:rFonts w:ascii="Arial" w:hAnsi="Arial" w:cs="Arial"/>
        </w:rPr>
        <w:t xml:space="preserve">10. </w:t>
      </w:r>
      <w:r w:rsidR="008E7113" w:rsidRPr="0097134E">
        <w:rPr>
          <w:rFonts w:ascii="Arial" w:hAnsi="Arial" w:cs="Arial"/>
        </w:rPr>
        <w:t>GUEDES</w:t>
      </w:r>
      <w:r w:rsidR="001C5D59" w:rsidRPr="0097134E">
        <w:rPr>
          <w:rFonts w:ascii="Arial" w:hAnsi="Arial" w:cs="Arial"/>
        </w:rPr>
        <w:t xml:space="preserve"> DP, </w:t>
      </w:r>
      <w:r w:rsidR="008E7113" w:rsidRPr="0097134E">
        <w:rPr>
          <w:rFonts w:ascii="Arial" w:hAnsi="Arial" w:cs="Arial"/>
        </w:rPr>
        <w:t>GUEDES</w:t>
      </w:r>
      <w:r w:rsidR="001C5D59" w:rsidRPr="0097134E">
        <w:rPr>
          <w:rFonts w:ascii="Arial" w:hAnsi="Arial" w:cs="Arial"/>
        </w:rPr>
        <w:t xml:space="preserve"> JER. Controle do peso corporal: composição corporal, atividade física e nutrição. </w:t>
      </w:r>
      <w:r w:rsidR="001C5D59" w:rsidRPr="0097134E">
        <w:rPr>
          <w:rFonts w:ascii="Arial" w:hAnsi="Arial" w:cs="Arial"/>
          <w:lang w:val="en-US"/>
        </w:rPr>
        <w:t>Rio de Janeiro: Shape, 1998. 311. p.</w:t>
      </w:r>
    </w:p>
    <w:p w14:paraId="67478F0B" w14:textId="77777777" w:rsidR="00887C6C" w:rsidRPr="0097134E" w:rsidRDefault="00887C6C">
      <w:pPr>
        <w:rPr>
          <w:rFonts w:ascii="Arial" w:hAnsi="Arial" w:cs="Arial"/>
          <w:shd w:val="clear" w:color="auto" w:fill="FFFFFF"/>
          <w:lang w:val="en-US"/>
        </w:rPr>
      </w:pPr>
    </w:p>
    <w:p w14:paraId="1B8B9759" w14:textId="1685D7CF" w:rsidR="00BA73C7" w:rsidRPr="0097134E" w:rsidRDefault="0058449A" w:rsidP="007E69A7">
      <w:pPr>
        <w:pStyle w:val="Corpodetexto2"/>
        <w:spacing w:line="240" w:lineRule="auto"/>
        <w:jc w:val="left"/>
        <w:rPr>
          <w:rFonts w:ascii="Arial" w:hAnsi="Arial" w:cs="Arial"/>
          <w:b w:val="0"/>
          <w:bCs w:val="0"/>
          <w:color w:val="000000" w:themeColor="text1"/>
          <w:szCs w:val="24"/>
          <w:lang w:val="en-US"/>
        </w:rPr>
      </w:pPr>
      <w:r w:rsidRPr="0097134E">
        <w:rPr>
          <w:rFonts w:ascii="Arial" w:hAnsi="Arial" w:cs="Arial"/>
          <w:b w:val="0"/>
          <w:bCs w:val="0"/>
          <w:color w:val="auto"/>
          <w:szCs w:val="24"/>
          <w:lang w:val="en-US"/>
        </w:rPr>
        <w:t xml:space="preserve">11. </w:t>
      </w:r>
      <w:r w:rsidR="00BA73C7" w:rsidRPr="0097134E">
        <w:rPr>
          <w:rFonts w:ascii="Arial" w:hAnsi="Arial" w:cs="Arial"/>
          <w:b w:val="0"/>
          <w:bCs w:val="0"/>
          <w:color w:val="auto"/>
          <w:szCs w:val="24"/>
          <w:lang w:val="en-US"/>
        </w:rPr>
        <w:t>PALMEIRO, E S; VALEIRO, M</w:t>
      </w:r>
      <w:r w:rsidR="008E7113" w:rsidRPr="0097134E">
        <w:rPr>
          <w:rFonts w:ascii="Arial" w:hAnsi="Arial" w:cs="Arial"/>
          <w:b w:val="0"/>
          <w:bCs w:val="0"/>
          <w:color w:val="auto"/>
          <w:szCs w:val="24"/>
          <w:lang w:val="en-US"/>
        </w:rPr>
        <w:t xml:space="preserve"> </w:t>
      </w:r>
      <w:r w:rsidR="00BA73C7" w:rsidRPr="0097134E">
        <w:rPr>
          <w:rFonts w:ascii="Arial" w:hAnsi="Arial" w:cs="Arial"/>
          <w:b w:val="0"/>
          <w:bCs w:val="0"/>
          <w:color w:val="auto"/>
          <w:szCs w:val="24"/>
          <w:lang w:val="en-US"/>
        </w:rPr>
        <w:t xml:space="preserve">A G; VILLARINO, M F. </w:t>
      </w:r>
      <w:r w:rsidR="008E7113" w:rsidRPr="0097134E">
        <w:rPr>
          <w:rFonts w:ascii="Arial" w:hAnsi="Arial" w:cs="Arial"/>
          <w:b w:val="0"/>
          <w:bCs w:val="0"/>
          <w:color w:val="auto"/>
          <w:szCs w:val="24"/>
          <w:lang w:val="en-US"/>
        </w:rPr>
        <w:t xml:space="preserve">Overweight In Schoolchildren And Association With Physical Activity And Parental Habits. </w:t>
      </w:r>
      <w:r w:rsidR="00BA73C7" w:rsidRPr="0097134E">
        <w:rPr>
          <w:rFonts w:ascii="Arial" w:hAnsi="Arial" w:cs="Arial"/>
          <w:b w:val="0"/>
          <w:bCs w:val="0"/>
          <w:i/>
          <w:color w:val="auto"/>
          <w:szCs w:val="24"/>
        </w:rPr>
        <w:t xml:space="preserve">Revista Brasileira de </w:t>
      </w:r>
      <w:r w:rsidR="00BA73C7" w:rsidRPr="0097134E">
        <w:rPr>
          <w:rFonts w:ascii="Arial" w:hAnsi="Arial" w:cs="Arial"/>
          <w:b w:val="0"/>
          <w:bCs w:val="0"/>
          <w:i/>
          <w:color w:val="000000" w:themeColor="text1"/>
          <w:szCs w:val="24"/>
        </w:rPr>
        <w:t>Medicina do Esporte</w:t>
      </w:r>
      <w:r w:rsidR="00BA73C7" w:rsidRPr="0097134E">
        <w:rPr>
          <w:rFonts w:ascii="Arial" w:hAnsi="Arial" w:cs="Arial"/>
          <w:b w:val="0"/>
          <w:bCs w:val="0"/>
          <w:color w:val="000000" w:themeColor="text1"/>
          <w:szCs w:val="24"/>
        </w:rPr>
        <w:t xml:space="preserve">, [s.l.], v. 25, n. 4, p.290-294, ago. 2019. </w:t>
      </w:r>
      <w:r w:rsidR="008E7113" w:rsidRPr="0097134E">
        <w:rPr>
          <w:rFonts w:ascii="Arial" w:hAnsi="Arial" w:cs="Arial"/>
          <w:b w:val="0"/>
          <w:color w:val="000000" w:themeColor="text1"/>
          <w:szCs w:val="24"/>
          <w:lang w:val="en-US"/>
        </w:rPr>
        <w:t>Disponível em:&lt;</w:t>
      </w:r>
      <w:hyperlink r:id="rId13" w:history="1">
        <w:r w:rsidR="00BA73C7" w:rsidRPr="0097134E">
          <w:rPr>
            <w:rStyle w:val="Hyperlink"/>
            <w:rFonts w:ascii="Arial" w:hAnsi="Arial" w:cs="Arial"/>
            <w:b w:val="0"/>
            <w:bCs w:val="0"/>
            <w:color w:val="000000" w:themeColor="text1"/>
            <w:szCs w:val="24"/>
            <w:u w:val="none"/>
            <w:lang w:val="en-US"/>
          </w:rPr>
          <w:t>http://dx.doi.org/10.1590/1517-869220192504181165</w:t>
        </w:r>
      </w:hyperlink>
      <w:r w:rsidR="008E7113" w:rsidRPr="0097134E">
        <w:rPr>
          <w:rStyle w:val="Hyperlink"/>
          <w:rFonts w:ascii="Arial" w:hAnsi="Arial" w:cs="Arial"/>
          <w:b w:val="0"/>
          <w:bCs w:val="0"/>
          <w:color w:val="000000" w:themeColor="text1"/>
          <w:szCs w:val="24"/>
          <w:u w:val="none"/>
          <w:lang w:val="en-US"/>
        </w:rPr>
        <w:t>&gt;</w:t>
      </w:r>
      <w:r w:rsidR="00BA73C7" w:rsidRPr="0097134E">
        <w:rPr>
          <w:rFonts w:ascii="Arial" w:hAnsi="Arial" w:cs="Arial"/>
          <w:b w:val="0"/>
          <w:bCs w:val="0"/>
          <w:color w:val="000000" w:themeColor="text1"/>
          <w:szCs w:val="24"/>
          <w:lang w:val="en-US"/>
        </w:rPr>
        <w:t>.</w:t>
      </w:r>
    </w:p>
    <w:p w14:paraId="7C114808" w14:textId="77777777" w:rsidR="00BA73C7" w:rsidRPr="0097134E" w:rsidRDefault="00BA73C7" w:rsidP="007E69A7">
      <w:pPr>
        <w:pStyle w:val="Corpodetexto2"/>
        <w:spacing w:line="240" w:lineRule="auto"/>
        <w:jc w:val="left"/>
        <w:rPr>
          <w:rFonts w:ascii="Arial" w:hAnsi="Arial" w:cs="Arial"/>
          <w:b w:val="0"/>
          <w:bCs w:val="0"/>
          <w:color w:val="000000" w:themeColor="text1"/>
          <w:szCs w:val="24"/>
          <w:highlight w:val="yellow"/>
          <w:lang w:val="en-US"/>
        </w:rPr>
      </w:pPr>
    </w:p>
    <w:p w14:paraId="5539F7B0" w14:textId="27B4E3F0" w:rsidR="00BA73C7" w:rsidRPr="0097134E" w:rsidRDefault="009A244F" w:rsidP="007E69A7">
      <w:pPr>
        <w:pStyle w:val="Corpodetexto2"/>
        <w:spacing w:line="240" w:lineRule="auto"/>
        <w:jc w:val="left"/>
        <w:rPr>
          <w:rFonts w:ascii="Arial" w:hAnsi="Arial" w:cs="Arial"/>
          <w:b w:val="0"/>
          <w:bCs w:val="0"/>
          <w:color w:val="000000" w:themeColor="text1"/>
          <w:szCs w:val="24"/>
          <w:lang w:val="en-US"/>
        </w:rPr>
      </w:pPr>
      <w:r w:rsidRPr="0097134E">
        <w:rPr>
          <w:rFonts w:ascii="Arial" w:hAnsi="Arial" w:cs="Arial"/>
          <w:b w:val="0"/>
          <w:bCs w:val="0"/>
          <w:color w:val="000000" w:themeColor="text1"/>
          <w:szCs w:val="24"/>
          <w:lang w:val="en-US"/>
        </w:rPr>
        <w:t xml:space="preserve">12. </w:t>
      </w:r>
      <w:r w:rsidR="00BA73C7" w:rsidRPr="0097134E">
        <w:rPr>
          <w:rFonts w:ascii="Arial" w:hAnsi="Arial" w:cs="Arial"/>
          <w:b w:val="0"/>
          <w:bCs w:val="0"/>
          <w:color w:val="000000" w:themeColor="text1"/>
          <w:szCs w:val="24"/>
          <w:lang w:val="en-US"/>
        </w:rPr>
        <w:t xml:space="preserve">MANN, G.; SERRANO, E. The association between weight perception and weight intention in middle school Appalachian students. Public Health, [s.l.], v. 171, p.135-138, jun. 2019. Elsevier BV. </w:t>
      </w:r>
      <w:r w:rsidR="008E7113" w:rsidRPr="0097134E">
        <w:rPr>
          <w:rFonts w:ascii="Arial" w:hAnsi="Arial" w:cs="Arial"/>
          <w:b w:val="0"/>
          <w:color w:val="000000" w:themeColor="text1"/>
          <w:szCs w:val="24"/>
          <w:lang w:val="en-US"/>
        </w:rPr>
        <w:t>Disponível em: &lt;</w:t>
      </w:r>
      <w:hyperlink r:id="rId14" w:history="1">
        <w:r w:rsidR="00BA73C7" w:rsidRPr="0097134E">
          <w:rPr>
            <w:rStyle w:val="Hyperlink"/>
            <w:rFonts w:ascii="Arial" w:hAnsi="Arial" w:cs="Arial"/>
            <w:b w:val="0"/>
            <w:bCs w:val="0"/>
            <w:color w:val="000000" w:themeColor="text1"/>
            <w:szCs w:val="24"/>
            <w:u w:val="none"/>
            <w:lang w:val="en-US"/>
          </w:rPr>
          <w:t>http://dx.doi.org/10.1016/j.puhe.2019.04.007</w:t>
        </w:r>
      </w:hyperlink>
      <w:r w:rsidR="008E7113" w:rsidRPr="0097134E">
        <w:rPr>
          <w:rStyle w:val="Hyperlink"/>
          <w:rFonts w:ascii="Arial" w:hAnsi="Arial" w:cs="Arial"/>
          <w:b w:val="0"/>
          <w:bCs w:val="0"/>
          <w:color w:val="000000" w:themeColor="text1"/>
          <w:szCs w:val="24"/>
          <w:u w:val="none"/>
          <w:lang w:val="en-US"/>
        </w:rPr>
        <w:t>&gt;</w:t>
      </w:r>
      <w:r w:rsidR="00BA73C7" w:rsidRPr="0097134E">
        <w:rPr>
          <w:rFonts w:ascii="Arial" w:hAnsi="Arial" w:cs="Arial"/>
          <w:b w:val="0"/>
          <w:bCs w:val="0"/>
          <w:color w:val="000000" w:themeColor="text1"/>
          <w:szCs w:val="24"/>
          <w:lang w:val="en-US"/>
        </w:rPr>
        <w:t>.</w:t>
      </w:r>
    </w:p>
    <w:p w14:paraId="17B6DA93" w14:textId="77777777" w:rsidR="00BA73C7" w:rsidRPr="0097134E" w:rsidRDefault="00BA73C7" w:rsidP="007E69A7">
      <w:pPr>
        <w:pStyle w:val="Corpodetexto2"/>
        <w:spacing w:line="240" w:lineRule="auto"/>
        <w:jc w:val="left"/>
        <w:rPr>
          <w:rFonts w:ascii="Arial" w:hAnsi="Arial" w:cs="Arial"/>
          <w:b w:val="0"/>
          <w:bCs w:val="0"/>
          <w:color w:val="000000" w:themeColor="text1"/>
          <w:szCs w:val="24"/>
          <w:lang w:val="en-US"/>
        </w:rPr>
      </w:pPr>
    </w:p>
    <w:p w14:paraId="187A6E82" w14:textId="167BAEDE" w:rsidR="00BA73C7" w:rsidRPr="0097134E" w:rsidRDefault="009A244F" w:rsidP="007E69A7">
      <w:pPr>
        <w:pStyle w:val="Corpodetexto2"/>
        <w:spacing w:line="240" w:lineRule="auto"/>
        <w:jc w:val="left"/>
        <w:rPr>
          <w:rFonts w:ascii="Arial" w:hAnsi="Arial" w:cs="Arial"/>
          <w:b w:val="0"/>
          <w:bCs w:val="0"/>
          <w:color w:val="auto"/>
          <w:szCs w:val="24"/>
        </w:rPr>
      </w:pPr>
      <w:r w:rsidRPr="0097134E">
        <w:rPr>
          <w:rFonts w:ascii="Arial" w:hAnsi="Arial" w:cs="Arial"/>
          <w:b w:val="0"/>
          <w:bCs w:val="0"/>
          <w:color w:val="000000" w:themeColor="text1"/>
          <w:szCs w:val="24"/>
        </w:rPr>
        <w:t xml:space="preserve">13. </w:t>
      </w:r>
      <w:r w:rsidR="00BA73C7" w:rsidRPr="0097134E">
        <w:rPr>
          <w:rFonts w:ascii="Arial" w:hAnsi="Arial" w:cs="Arial"/>
          <w:b w:val="0"/>
          <w:bCs w:val="0"/>
          <w:color w:val="000000" w:themeColor="text1"/>
          <w:szCs w:val="24"/>
        </w:rPr>
        <w:t>SERRANO, M</w:t>
      </w:r>
      <w:r w:rsidR="008E7113" w:rsidRPr="0097134E">
        <w:rPr>
          <w:rFonts w:ascii="Arial" w:hAnsi="Arial" w:cs="Arial"/>
          <w:b w:val="0"/>
          <w:bCs w:val="0"/>
          <w:color w:val="000000" w:themeColor="text1"/>
          <w:szCs w:val="24"/>
        </w:rPr>
        <w:t xml:space="preserve"> </w:t>
      </w:r>
      <w:r w:rsidR="00BA73C7" w:rsidRPr="0097134E">
        <w:rPr>
          <w:rFonts w:ascii="Arial" w:hAnsi="Arial" w:cs="Arial"/>
          <w:b w:val="0"/>
          <w:bCs w:val="0"/>
          <w:color w:val="000000" w:themeColor="text1"/>
          <w:szCs w:val="24"/>
        </w:rPr>
        <w:t xml:space="preserve">D M. </w:t>
      </w:r>
      <w:r w:rsidR="008E7113" w:rsidRPr="0097134E">
        <w:rPr>
          <w:rFonts w:ascii="Arial" w:hAnsi="Arial" w:cs="Arial"/>
          <w:b w:val="0"/>
          <w:bCs w:val="0"/>
          <w:color w:val="000000" w:themeColor="text1"/>
          <w:szCs w:val="24"/>
        </w:rPr>
        <w:t xml:space="preserve">Valores De Referencia Para </w:t>
      </w:r>
      <w:r w:rsidR="008E7113" w:rsidRPr="0097134E">
        <w:rPr>
          <w:rFonts w:ascii="Arial" w:hAnsi="Arial" w:cs="Arial"/>
          <w:b w:val="0"/>
          <w:bCs w:val="0"/>
          <w:color w:val="auto"/>
          <w:szCs w:val="24"/>
        </w:rPr>
        <w:t xml:space="preserve">Los Pliegues Adiposos Subescapular Y. </w:t>
      </w:r>
      <w:r w:rsidR="00BA73C7" w:rsidRPr="0097134E">
        <w:rPr>
          <w:rFonts w:ascii="Arial" w:hAnsi="Arial" w:cs="Arial"/>
          <w:b w:val="0"/>
          <w:bCs w:val="0"/>
          <w:color w:val="auto"/>
          <w:szCs w:val="24"/>
        </w:rPr>
        <w:t>Nutricion Hospitalaria</w:t>
      </w:r>
      <w:r w:rsidR="008E7113" w:rsidRPr="0097134E">
        <w:rPr>
          <w:rFonts w:ascii="Arial" w:hAnsi="Arial" w:cs="Arial"/>
          <w:b w:val="0"/>
          <w:bCs w:val="0"/>
          <w:color w:val="auto"/>
          <w:szCs w:val="24"/>
        </w:rPr>
        <w:t>, [S.L.], N. 6, P.2862-2873, 1 Dez. 2015.</w:t>
      </w:r>
      <w:r w:rsidR="0058449A" w:rsidRPr="0097134E">
        <w:rPr>
          <w:rFonts w:ascii="Arial" w:hAnsi="Arial" w:cs="Arial"/>
          <w:b w:val="0"/>
          <w:bCs w:val="0"/>
          <w:color w:val="auto"/>
          <w:szCs w:val="24"/>
        </w:rPr>
        <w:t xml:space="preserve"> </w:t>
      </w:r>
      <w:r w:rsidR="008E7113" w:rsidRPr="0097134E">
        <w:rPr>
          <w:rFonts w:ascii="Arial" w:hAnsi="Arial" w:cs="Arial"/>
          <w:b w:val="0"/>
          <w:szCs w:val="24"/>
        </w:rPr>
        <w:t>Disponível em: &lt;</w:t>
      </w:r>
      <w:r w:rsidR="00BA73C7" w:rsidRPr="0097134E">
        <w:rPr>
          <w:rFonts w:ascii="Arial" w:hAnsi="Arial" w:cs="Arial"/>
          <w:b w:val="0"/>
          <w:bCs w:val="0"/>
          <w:color w:val="auto"/>
          <w:szCs w:val="24"/>
        </w:rPr>
        <w:t>http://dx.doi.org/10.3305/nh.2015.32.6.9775</w:t>
      </w:r>
      <w:r w:rsidR="008E7113" w:rsidRPr="0097134E">
        <w:rPr>
          <w:rFonts w:ascii="Arial" w:hAnsi="Arial" w:cs="Arial"/>
          <w:b w:val="0"/>
          <w:bCs w:val="0"/>
          <w:color w:val="auto"/>
          <w:szCs w:val="24"/>
        </w:rPr>
        <w:t>&gt;</w:t>
      </w:r>
      <w:r w:rsidR="00BA73C7" w:rsidRPr="0097134E">
        <w:rPr>
          <w:rFonts w:ascii="Arial" w:hAnsi="Arial" w:cs="Arial"/>
          <w:b w:val="0"/>
          <w:bCs w:val="0"/>
          <w:color w:val="auto"/>
          <w:szCs w:val="24"/>
        </w:rPr>
        <w:t>.</w:t>
      </w:r>
    </w:p>
    <w:p w14:paraId="530B85DC" w14:textId="38437547" w:rsidR="00FF7287" w:rsidRPr="0097134E" w:rsidRDefault="00FF7287">
      <w:pPr>
        <w:rPr>
          <w:rFonts w:ascii="Arial" w:hAnsi="Arial" w:cs="Arial"/>
          <w:shd w:val="clear" w:color="auto" w:fill="FFFFFF"/>
        </w:rPr>
      </w:pPr>
    </w:p>
    <w:p w14:paraId="321546B3" w14:textId="4E2E5530" w:rsidR="0058449A" w:rsidRPr="0097134E" w:rsidRDefault="0058449A" w:rsidP="007E69A7">
      <w:pPr>
        <w:pStyle w:val="Corpodetexto2"/>
        <w:spacing w:line="240" w:lineRule="auto"/>
        <w:jc w:val="left"/>
        <w:rPr>
          <w:rFonts w:ascii="Arial" w:hAnsi="Arial" w:cs="Arial"/>
          <w:b w:val="0"/>
          <w:bCs w:val="0"/>
          <w:color w:val="auto"/>
          <w:szCs w:val="24"/>
        </w:rPr>
      </w:pPr>
      <w:r w:rsidRPr="0097134E">
        <w:rPr>
          <w:rFonts w:ascii="Arial" w:hAnsi="Arial" w:cs="Arial"/>
          <w:b w:val="0"/>
          <w:bCs w:val="0"/>
          <w:color w:val="auto"/>
          <w:szCs w:val="24"/>
        </w:rPr>
        <w:t xml:space="preserve">14. </w:t>
      </w:r>
      <w:r w:rsidR="00CF4D73" w:rsidRPr="0097134E">
        <w:rPr>
          <w:rFonts w:ascii="Arial" w:hAnsi="Arial" w:cs="Arial"/>
          <w:b w:val="0"/>
          <w:bCs w:val="0"/>
          <w:color w:val="auto"/>
          <w:szCs w:val="24"/>
        </w:rPr>
        <w:t>SCHOMMER, V</w:t>
      </w:r>
      <w:r w:rsidRPr="0097134E">
        <w:rPr>
          <w:rFonts w:ascii="Arial" w:hAnsi="Arial" w:cs="Arial"/>
          <w:b w:val="0"/>
          <w:bCs w:val="0"/>
          <w:color w:val="auto"/>
          <w:szCs w:val="24"/>
        </w:rPr>
        <w:t xml:space="preserve"> A et al. </w:t>
      </w:r>
      <w:r w:rsidRPr="0097134E">
        <w:rPr>
          <w:rFonts w:ascii="Arial" w:hAnsi="Arial" w:cs="Arial"/>
          <w:b w:val="0"/>
          <w:bCs w:val="0"/>
          <w:color w:val="auto"/>
          <w:szCs w:val="24"/>
          <w:lang w:val="en-US"/>
        </w:rPr>
        <w:t xml:space="preserve">Excess Weight, Anthropometric Variables and Blood Pressure in Schoolchildren aged 10 to 18 years. </w:t>
      </w:r>
      <w:r w:rsidRPr="0097134E">
        <w:rPr>
          <w:rFonts w:ascii="Arial" w:hAnsi="Arial" w:cs="Arial"/>
          <w:b w:val="0"/>
          <w:bCs w:val="0"/>
          <w:color w:val="auto"/>
          <w:szCs w:val="24"/>
        </w:rPr>
        <w:t xml:space="preserve">Arquivos Brasileiros de Cardiologia, [s.l.], p.1-7, 2014. GN1 Genesis Network. </w:t>
      </w:r>
      <w:r w:rsidR="00CF4D73" w:rsidRPr="0097134E">
        <w:rPr>
          <w:rFonts w:ascii="Arial" w:hAnsi="Arial" w:cs="Arial"/>
          <w:b w:val="0"/>
          <w:szCs w:val="24"/>
        </w:rPr>
        <w:t>Disponível em: &lt;</w:t>
      </w:r>
      <w:r w:rsidRPr="0097134E">
        <w:rPr>
          <w:rFonts w:ascii="Arial" w:hAnsi="Arial" w:cs="Arial"/>
          <w:b w:val="0"/>
          <w:bCs w:val="0"/>
          <w:color w:val="auto"/>
          <w:szCs w:val="24"/>
        </w:rPr>
        <w:t>http://dx.doi.org/10.5935/abc.20140038</w:t>
      </w:r>
      <w:r w:rsidR="00CF4D73" w:rsidRPr="0097134E">
        <w:rPr>
          <w:rFonts w:ascii="Arial" w:hAnsi="Arial" w:cs="Arial"/>
          <w:b w:val="0"/>
          <w:bCs w:val="0"/>
          <w:color w:val="auto"/>
          <w:szCs w:val="24"/>
        </w:rPr>
        <w:t>&gt;</w:t>
      </w:r>
      <w:r w:rsidRPr="0097134E">
        <w:rPr>
          <w:rFonts w:ascii="Arial" w:hAnsi="Arial" w:cs="Arial"/>
          <w:b w:val="0"/>
          <w:bCs w:val="0"/>
          <w:color w:val="auto"/>
          <w:szCs w:val="24"/>
        </w:rPr>
        <w:t>.</w:t>
      </w:r>
    </w:p>
    <w:p w14:paraId="75460C8D" w14:textId="3CEA7078" w:rsidR="0058449A" w:rsidRPr="0097134E" w:rsidRDefault="0058449A" w:rsidP="007E69A7">
      <w:pPr>
        <w:pStyle w:val="Corpodetexto2"/>
        <w:spacing w:line="240" w:lineRule="auto"/>
        <w:jc w:val="left"/>
        <w:rPr>
          <w:rFonts w:ascii="Arial" w:hAnsi="Arial" w:cs="Arial"/>
          <w:b w:val="0"/>
          <w:bCs w:val="0"/>
          <w:color w:val="auto"/>
          <w:szCs w:val="24"/>
          <w:highlight w:val="yellow"/>
        </w:rPr>
      </w:pPr>
    </w:p>
    <w:p w14:paraId="08E98044" w14:textId="25C0FBB7" w:rsidR="0058449A" w:rsidRPr="0097134E" w:rsidRDefault="0058449A" w:rsidP="007E69A7">
      <w:pPr>
        <w:rPr>
          <w:rFonts w:ascii="Arial" w:hAnsi="Arial" w:cs="Arial"/>
          <w:b/>
          <w:bCs/>
          <w:highlight w:val="yellow"/>
        </w:rPr>
      </w:pPr>
      <w:r w:rsidRPr="0097134E">
        <w:rPr>
          <w:rFonts w:ascii="Arial" w:hAnsi="Arial" w:cs="Arial"/>
          <w:shd w:val="clear" w:color="auto" w:fill="FFFFFF"/>
        </w:rPr>
        <w:t xml:space="preserve">15. ZHANG, Hai-long et al. </w:t>
      </w:r>
      <w:r w:rsidRPr="0097134E">
        <w:rPr>
          <w:rFonts w:ascii="Arial" w:hAnsi="Arial" w:cs="Arial"/>
          <w:shd w:val="clear" w:color="auto" w:fill="FFFFFF"/>
          <w:lang w:val="en-US"/>
        </w:rPr>
        <w:t xml:space="preserve">Gender differences and age-related changes in body fat mass in Tibetan children and teenagers: an analysis by the bioelectrical impedance method. Journal Of Pediatric Endocrinology And Metabolism, [s.l.], v. 28, n. 1-2, p.87-92, 1 jan. 2015. </w:t>
      </w:r>
      <w:r w:rsidRPr="0097134E">
        <w:rPr>
          <w:rFonts w:ascii="Arial" w:hAnsi="Arial" w:cs="Arial"/>
          <w:shd w:val="clear" w:color="auto" w:fill="FFFFFF"/>
        </w:rPr>
        <w:t xml:space="preserve">Walter de Gruyter GmbH. </w:t>
      </w:r>
      <w:r w:rsidR="00443193" w:rsidRPr="0097134E">
        <w:rPr>
          <w:rFonts w:ascii="Arial" w:hAnsi="Arial" w:cs="Arial"/>
        </w:rPr>
        <w:t>Disponível em: &lt;</w:t>
      </w:r>
      <w:r w:rsidRPr="0097134E">
        <w:rPr>
          <w:rFonts w:ascii="Arial" w:hAnsi="Arial" w:cs="Arial"/>
          <w:shd w:val="clear" w:color="auto" w:fill="FFFFFF"/>
        </w:rPr>
        <w:t>http://dx.doi.org/10.1515/jpem-2013-0503</w:t>
      </w:r>
      <w:r w:rsidR="00443193" w:rsidRPr="0097134E">
        <w:rPr>
          <w:rFonts w:ascii="Arial" w:hAnsi="Arial" w:cs="Arial"/>
          <w:shd w:val="clear" w:color="auto" w:fill="FFFFFF"/>
        </w:rPr>
        <w:t>&gt;</w:t>
      </w:r>
      <w:r w:rsidRPr="0097134E">
        <w:rPr>
          <w:rFonts w:ascii="Arial" w:hAnsi="Arial" w:cs="Arial"/>
          <w:shd w:val="clear" w:color="auto" w:fill="FFFFFF"/>
        </w:rPr>
        <w:t>.</w:t>
      </w:r>
      <w:r w:rsidRPr="0097134E">
        <w:rPr>
          <w:rFonts w:ascii="Arial" w:hAnsi="Arial" w:cs="Arial"/>
          <w:shd w:val="clear" w:color="auto" w:fill="FFFFFF"/>
        </w:rPr>
        <w:br/>
      </w:r>
    </w:p>
    <w:p w14:paraId="26234BBE" w14:textId="659A9D7E" w:rsidR="00963FAA" w:rsidRPr="0097134E" w:rsidRDefault="005557D2">
      <w:pPr>
        <w:rPr>
          <w:rFonts w:ascii="Arial" w:hAnsi="Arial" w:cs="Arial"/>
          <w:shd w:val="clear" w:color="auto" w:fill="FFFFFF"/>
        </w:rPr>
      </w:pPr>
      <w:r w:rsidRPr="0097134E">
        <w:rPr>
          <w:rFonts w:ascii="Arial" w:hAnsi="Arial" w:cs="Arial"/>
          <w:shd w:val="clear" w:color="auto" w:fill="FFFFFF"/>
          <w:lang w:val="en-US"/>
        </w:rPr>
        <w:t xml:space="preserve">16. </w:t>
      </w:r>
      <w:r w:rsidR="00963FAA" w:rsidRPr="0097134E">
        <w:rPr>
          <w:rFonts w:ascii="Arial" w:hAnsi="Arial" w:cs="Arial"/>
          <w:shd w:val="clear" w:color="auto" w:fill="FFFFFF"/>
          <w:lang w:val="en-US"/>
        </w:rPr>
        <w:t>HALAL, C</w:t>
      </w:r>
      <w:r w:rsidR="00443193" w:rsidRPr="0097134E">
        <w:rPr>
          <w:rFonts w:ascii="Arial" w:hAnsi="Arial" w:cs="Arial"/>
          <w:shd w:val="clear" w:color="auto" w:fill="FFFFFF"/>
          <w:lang w:val="en-US"/>
        </w:rPr>
        <w:t xml:space="preserve"> D</w:t>
      </w:r>
      <w:r w:rsidR="00963FAA" w:rsidRPr="0097134E">
        <w:rPr>
          <w:rFonts w:ascii="Arial" w:hAnsi="Arial" w:cs="Arial"/>
          <w:shd w:val="clear" w:color="auto" w:fill="FFFFFF"/>
          <w:lang w:val="en-US"/>
        </w:rPr>
        <w:t xml:space="preserve"> S El; NUNES, M L. Sleep and weight-height development. </w:t>
      </w:r>
      <w:r w:rsidR="00963FAA" w:rsidRPr="0097134E">
        <w:rPr>
          <w:rFonts w:ascii="Arial" w:hAnsi="Arial" w:cs="Arial"/>
          <w:shd w:val="clear" w:color="auto" w:fill="FFFFFF"/>
        </w:rPr>
        <w:t xml:space="preserve">Jornal de Pediatria, [s.l.], v. 95, p.2-9, mar. 2019. Elsevier BV. </w:t>
      </w:r>
      <w:r w:rsidR="00443193" w:rsidRPr="0097134E">
        <w:rPr>
          <w:rFonts w:ascii="Arial" w:hAnsi="Arial" w:cs="Arial"/>
          <w:shd w:val="clear" w:color="auto" w:fill="FFFFFF"/>
        </w:rPr>
        <w:t xml:space="preserve"> </w:t>
      </w:r>
      <w:r w:rsidR="00443193" w:rsidRPr="0097134E">
        <w:rPr>
          <w:rFonts w:ascii="Arial" w:hAnsi="Arial" w:cs="Arial"/>
        </w:rPr>
        <w:t>Disponível em: &lt;</w:t>
      </w:r>
      <w:hyperlink r:id="rId15" w:history="1">
        <w:r w:rsidR="00AC3D25" w:rsidRPr="0097134E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http://dx.doi.org/10.1016/j.jped.2018.10.009</w:t>
        </w:r>
      </w:hyperlink>
      <w:r w:rsidR="00443193" w:rsidRPr="0097134E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&gt;</w:t>
      </w:r>
      <w:r w:rsidR="00963FAA" w:rsidRPr="0097134E">
        <w:rPr>
          <w:rFonts w:ascii="Arial" w:hAnsi="Arial" w:cs="Arial"/>
          <w:shd w:val="clear" w:color="auto" w:fill="FFFFFF"/>
        </w:rPr>
        <w:t>.</w:t>
      </w:r>
    </w:p>
    <w:p w14:paraId="0B5FF291" w14:textId="77777777" w:rsidR="00FF7287" w:rsidRPr="0097134E" w:rsidRDefault="00FF7287">
      <w:pPr>
        <w:rPr>
          <w:rFonts w:ascii="Arial" w:hAnsi="Arial" w:cs="Arial"/>
          <w:shd w:val="clear" w:color="auto" w:fill="FFFFFF"/>
        </w:rPr>
      </w:pPr>
    </w:p>
    <w:p w14:paraId="29B8CC25" w14:textId="50800815" w:rsidR="00D2412A" w:rsidRPr="0097134E" w:rsidRDefault="001A2C60">
      <w:pPr>
        <w:rPr>
          <w:rFonts w:ascii="Arial" w:hAnsi="Arial" w:cs="Arial"/>
          <w:shd w:val="clear" w:color="auto" w:fill="FFFFFF"/>
          <w:lang w:val="en-US"/>
        </w:rPr>
      </w:pPr>
      <w:r w:rsidRPr="0097134E">
        <w:rPr>
          <w:rFonts w:ascii="Arial" w:hAnsi="Arial" w:cs="Arial"/>
          <w:shd w:val="clear" w:color="auto" w:fill="FFFFFF"/>
        </w:rPr>
        <w:t xml:space="preserve">17. </w:t>
      </w:r>
      <w:r w:rsidR="00443193" w:rsidRPr="0097134E">
        <w:rPr>
          <w:rFonts w:ascii="Arial" w:hAnsi="Arial" w:cs="Arial"/>
          <w:shd w:val="clear" w:color="auto" w:fill="FFFFFF"/>
        </w:rPr>
        <w:t>MARSHALL</w:t>
      </w:r>
      <w:r w:rsidR="00D2412A" w:rsidRPr="0097134E">
        <w:rPr>
          <w:rFonts w:ascii="Arial" w:hAnsi="Arial" w:cs="Arial"/>
          <w:shd w:val="clear" w:color="auto" w:fill="FFFFFF"/>
        </w:rPr>
        <w:t xml:space="preserve"> WA, </w:t>
      </w:r>
      <w:r w:rsidR="00443193" w:rsidRPr="0097134E">
        <w:rPr>
          <w:rFonts w:ascii="Arial" w:hAnsi="Arial" w:cs="Arial"/>
          <w:shd w:val="clear" w:color="auto" w:fill="FFFFFF"/>
        </w:rPr>
        <w:t>TANNER</w:t>
      </w:r>
      <w:r w:rsidR="00D2412A" w:rsidRPr="0097134E">
        <w:rPr>
          <w:rFonts w:ascii="Arial" w:hAnsi="Arial" w:cs="Arial"/>
          <w:shd w:val="clear" w:color="auto" w:fill="FFFFFF"/>
        </w:rPr>
        <w:t xml:space="preserve"> JM. </w:t>
      </w:r>
      <w:r w:rsidR="00D2412A" w:rsidRPr="0097134E">
        <w:rPr>
          <w:rFonts w:ascii="Arial" w:hAnsi="Arial" w:cs="Arial"/>
          <w:shd w:val="clear" w:color="auto" w:fill="FFFFFF"/>
          <w:lang w:val="en-US"/>
        </w:rPr>
        <w:t>Variations in the pattern of pubertal changes in girls. Arch Dis Child. 1969;44:291-303.</w:t>
      </w:r>
    </w:p>
    <w:p w14:paraId="317C61BD" w14:textId="77777777" w:rsidR="00D2412A" w:rsidRPr="0097134E" w:rsidRDefault="00D2412A">
      <w:pPr>
        <w:rPr>
          <w:rFonts w:ascii="Arial" w:hAnsi="Arial" w:cs="Arial"/>
          <w:shd w:val="clear" w:color="auto" w:fill="FFFFFF"/>
          <w:lang w:val="en-US"/>
        </w:rPr>
      </w:pPr>
    </w:p>
    <w:p w14:paraId="2900BA45" w14:textId="0958D39E" w:rsidR="001A2C60" w:rsidRPr="0097134E" w:rsidRDefault="001A2C60">
      <w:pPr>
        <w:rPr>
          <w:rFonts w:ascii="Arial" w:hAnsi="Arial" w:cs="Arial"/>
          <w:shd w:val="clear" w:color="auto" w:fill="FFFFFF"/>
          <w:lang w:val="en-US"/>
        </w:rPr>
      </w:pPr>
      <w:r w:rsidRPr="0097134E">
        <w:rPr>
          <w:rFonts w:ascii="Arial" w:hAnsi="Arial" w:cs="Arial"/>
          <w:shd w:val="clear" w:color="auto" w:fill="FFFFFF"/>
          <w:lang w:val="en-US"/>
        </w:rPr>
        <w:t>18</w:t>
      </w:r>
      <w:r w:rsidR="00443193" w:rsidRPr="0097134E">
        <w:rPr>
          <w:rFonts w:ascii="Arial" w:hAnsi="Arial" w:cs="Arial"/>
          <w:shd w:val="clear" w:color="auto" w:fill="FFFFFF"/>
          <w:lang w:val="en-US"/>
        </w:rPr>
        <w:t>.</w:t>
      </w:r>
      <w:r w:rsidRPr="0097134E">
        <w:rPr>
          <w:rFonts w:ascii="Arial" w:hAnsi="Arial" w:cs="Arial"/>
          <w:shd w:val="clear" w:color="auto" w:fill="FFFFFF"/>
          <w:lang w:val="en-US"/>
        </w:rPr>
        <w:t xml:space="preserve"> </w:t>
      </w:r>
      <w:r w:rsidR="00443193" w:rsidRPr="0097134E">
        <w:rPr>
          <w:rFonts w:ascii="Arial" w:hAnsi="Arial" w:cs="Arial"/>
          <w:shd w:val="clear" w:color="auto" w:fill="FFFFFF"/>
          <w:lang w:val="en-US"/>
        </w:rPr>
        <w:t>PRADER</w:t>
      </w:r>
      <w:r w:rsidRPr="0097134E">
        <w:rPr>
          <w:rFonts w:ascii="Arial" w:hAnsi="Arial" w:cs="Arial"/>
          <w:shd w:val="clear" w:color="auto" w:fill="FFFFFF"/>
          <w:lang w:val="en-US"/>
        </w:rPr>
        <w:t>,</w:t>
      </w:r>
      <w:r w:rsidR="00443193" w:rsidRPr="0097134E">
        <w:rPr>
          <w:rFonts w:ascii="Arial" w:hAnsi="Arial" w:cs="Arial"/>
          <w:shd w:val="clear" w:color="auto" w:fill="FFFFFF"/>
          <w:lang w:val="en-US"/>
        </w:rPr>
        <w:t>A</w:t>
      </w:r>
      <w:r w:rsidRPr="0097134E">
        <w:rPr>
          <w:rFonts w:ascii="Arial" w:hAnsi="Arial" w:cs="Arial"/>
          <w:shd w:val="clear" w:color="auto" w:fill="FFFFFF"/>
          <w:lang w:val="en-US"/>
        </w:rPr>
        <w:t xml:space="preserve"> R.H. L</w:t>
      </w:r>
      <w:r w:rsidR="00443193" w:rsidRPr="0097134E">
        <w:rPr>
          <w:rFonts w:ascii="Arial" w:hAnsi="Arial" w:cs="Arial"/>
          <w:shd w:val="clear" w:color="auto" w:fill="FFFFFF"/>
          <w:lang w:val="en-US"/>
        </w:rPr>
        <w:t>ARGO</w:t>
      </w:r>
      <w:r w:rsidRPr="0097134E">
        <w:rPr>
          <w:rFonts w:ascii="Arial" w:hAnsi="Arial" w:cs="Arial"/>
          <w:shd w:val="clear" w:color="auto" w:fill="FFFFFF"/>
          <w:lang w:val="en-US"/>
        </w:rPr>
        <w:t xml:space="preserve">, L. </w:t>
      </w:r>
      <w:r w:rsidR="00443193" w:rsidRPr="0097134E">
        <w:rPr>
          <w:rFonts w:ascii="Arial" w:hAnsi="Arial" w:cs="Arial"/>
          <w:shd w:val="clear" w:color="auto" w:fill="FFFFFF"/>
          <w:lang w:val="en-US"/>
        </w:rPr>
        <w:t>MOLINARI</w:t>
      </w:r>
      <w:r w:rsidR="00713543" w:rsidRPr="0097134E">
        <w:rPr>
          <w:rFonts w:ascii="Arial" w:hAnsi="Arial" w:cs="Arial"/>
          <w:shd w:val="clear" w:color="auto" w:fill="FFFFFF"/>
          <w:lang w:val="en-US"/>
        </w:rPr>
        <w:t>, C L</w:t>
      </w:r>
      <w:r w:rsidRPr="0097134E">
        <w:rPr>
          <w:rFonts w:ascii="Arial" w:hAnsi="Arial" w:cs="Arial"/>
          <w:shd w:val="clear" w:color="auto" w:fill="FFFFFF"/>
          <w:lang w:val="en-US"/>
        </w:rPr>
        <w:t>. Physical growth of Swiss children from birth to 20 years of age. First Zurich longitudinal study of growth and development, Helv Paediatr Acta Suppl, 52 (1989), pp. 1-125</w:t>
      </w:r>
    </w:p>
    <w:p w14:paraId="72B51C04" w14:textId="0454EE6A" w:rsidR="001A2C60" w:rsidRPr="0097134E" w:rsidRDefault="001A2C60">
      <w:pPr>
        <w:rPr>
          <w:rFonts w:ascii="Arial" w:hAnsi="Arial" w:cs="Arial"/>
          <w:shd w:val="clear" w:color="auto" w:fill="FFFFFF"/>
          <w:lang w:val="en-US"/>
        </w:rPr>
      </w:pPr>
    </w:p>
    <w:p w14:paraId="7ED3B587" w14:textId="0126AC97" w:rsidR="0058449A" w:rsidRPr="0097134E" w:rsidRDefault="0058449A">
      <w:pPr>
        <w:rPr>
          <w:rFonts w:ascii="Arial" w:hAnsi="Arial" w:cs="Arial"/>
          <w:shd w:val="clear" w:color="auto" w:fill="FFFFFF"/>
          <w:lang w:val="en-US"/>
        </w:rPr>
      </w:pPr>
      <w:r w:rsidRPr="0097134E">
        <w:rPr>
          <w:rFonts w:ascii="Arial" w:hAnsi="Arial" w:cs="Arial"/>
          <w:shd w:val="clear" w:color="auto" w:fill="FFFFFF"/>
          <w:lang w:val="en-US"/>
        </w:rPr>
        <w:t xml:space="preserve">19. </w:t>
      </w:r>
      <w:r w:rsidR="00713543" w:rsidRPr="0097134E">
        <w:rPr>
          <w:rFonts w:ascii="Arial" w:hAnsi="Arial" w:cs="Arial"/>
          <w:shd w:val="clear" w:color="auto" w:fill="FFFFFF"/>
          <w:lang w:val="en-US"/>
        </w:rPr>
        <w:t xml:space="preserve">MARSHALL, </w:t>
      </w:r>
      <w:r w:rsidRPr="0097134E">
        <w:rPr>
          <w:rFonts w:ascii="Arial" w:hAnsi="Arial" w:cs="Arial"/>
          <w:shd w:val="clear" w:color="auto" w:fill="FFFFFF"/>
          <w:lang w:val="en-US"/>
        </w:rPr>
        <w:t>WA, T</w:t>
      </w:r>
      <w:r w:rsidR="00713543" w:rsidRPr="0097134E">
        <w:rPr>
          <w:rFonts w:ascii="Arial" w:hAnsi="Arial" w:cs="Arial"/>
          <w:shd w:val="clear" w:color="auto" w:fill="FFFFFF"/>
          <w:lang w:val="en-US"/>
        </w:rPr>
        <w:t>ANNER</w:t>
      </w:r>
      <w:r w:rsidRPr="0097134E">
        <w:rPr>
          <w:rFonts w:ascii="Arial" w:hAnsi="Arial" w:cs="Arial"/>
          <w:shd w:val="clear" w:color="auto" w:fill="FFFFFF"/>
          <w:lang w:val="en-US"/>
        </w:rPr>
        <w:t>, JM. Variations in the pattern of pubertal changes in boys. Arch Dis Child. 1970;45:13-23.</w:t>
      </w:r>
    </w:p>
    <w:p w14:paraId="494B1713" w14:textId="77777777" w:rsidR="0058449A" w:rsidRPr="0097134E" w:rsidRDefault="0058449A">
      <w:pPr>
        <w:rPr>
          <w:rFonts w:ascii="Arial" w:hAnsi="Arial" w:cs="Arial"/>
          <w:shd w:val="clear" w:color="auto" w:fill="FFFFFF"/>
          <w:lang w:val="en-US"/>
        </w:rPr>
      </w:pPr>
    </w:p>
    <w:p w14:paraId="2A3FD08B" w14:textId="65C54E33" w:rsidR="0058449A" w:rsidRDefault="0058449A">
      <w:pPr>
        <w:rPr>
          <w:rFonts w:ascii="Arial" w:hAnsi="Arial" w:cs="Arial"/>
          <w:color w:val="222222"/>
          <w:shd w:val="clear" w:color="auto" w:fill="FFFFFF"/>
        </w:rPr>
      </w:pPr>
      <w:r w:rsidRPr="0097134E">
        <w:rPr>
          <w:rFonts w:ascii="Arial" w:hAnsi="Arial" w:cs="Arial"/>
          <w:color w:val="222222"/>
          <w:shd w:val="clear" w:color="auto" w:fill="FFFFFF"/>
          <w:lang w:val="en-US"/>
        </w:rPr>
        <w:t>20. GÜNGÖR, N K. Overweight and Obesity in Children and Adolescents. </w:t>
      </w:r>
      <w:r w:rsidRPr="0097134E">
        <w:rPr>
          <w:rStyle w:val="Forte"/>
          <w:rFonts w:ascii="Arial" w:eastAsia="Arial Unicode MS" w:hAnsi="Arial" w:cs="Arial"/>
          <w:b w:val="0"/>
          <w:color w:val="222222"/>
          <w:shd w:val="clear" w:color="auto" w:fill="FFFFFF"/>
          <w:lang w:val="en-US"/>
        </w:rPr>
        <w:t>Journal Of Clinical Research In Pediatric Endocrinology</w:t>
      </w:r>
      <w:r w:rsidRPr="0097134E">
        <w:rPr>
          <w:rFonts w:ascii="Arial" w:hAnsi="Arial" w:cs="Arial"/>
          <w:color w:val="222222"/>
          <w:shd w:val="clear" w:color="auto" w:fill="FFFFFF"/>
          <w:lang w:val="en-US"/>
        </w:rPr>
        <w:t xml:space="preserve">, [s.l.], p.129-143, 5 set. 2014. </w:t>
      </w:r>
      <w:r w:rsidRPr="0097134E">
        <w:rPr>
          <w:rFonts w:ascii="Arial" w:hAnsi="Arial" w:cs="Arial"/>
          <w:color w:val="222222"/>
          <w:shd w:val="clear" w:color="auto" w:fill="FFFFFF"/>
        </w:rPr>
        <w:t xml:space="preserve">Galenos Yayinevi. </w:t>
      </w:r>
      <w:r w:rsidR="00713543" w:rsidRPr="0097134E">
        <w:rPr>
          <w:rFonts w:ascii="Arial" w:hAnsi="Arial" w:cs="Arial"/>
        </w:rPr>
        <w:t>Disponível em: &lt;</w:t>
      </w:r>
      <w:r w:rsidRPr="0097134E">
        <w:rPr>
          <w:rFonts w:ascii="Arial" w:hAnsi="Arial" w:cs="Arial"/>
          <w:color w:val="222222"/>
          <w:shd w:val="clear" w:color="auto" w:fill="FFFFFF"/>
        </w:rPr>
        <w:t>http://dx.doi.org/10.4274/jcrpe.1471</w:t>
      </w:r>
      <w:r w:rsidR="00713543" w:rsidRPr="0097134E">
        <w:rPr>
          <w:rFonts w:ascii="Arial" w:hAnsi="Arial" w:cs="Arial"/>
          <w:color w:val="222222"/>
          <w:shd w:val="clear" w:color="auto" w:fill="FFFFFF"/>
        </w:rPr>
        <w:t>&gt;</w:t>
      </w:r>
      <w:r w:rsidRPr="0097134E">
        <w:rPr>
          <w:rFonts w:ascii="Arial" w:hAnsi="Arial" w:cs="Arial"/>
          <w:color w:val="222222"/>
          <w:shd w:val="clear" w:color="auto" w:fill="FFFFFF"/>
        </w:rPr>
        <w:t>.</w:t>
      </w:r>
    </w:p>
    <w:p w14:paraId="4E2F9DE6" w14:textId="77777777" w:rsidR="00533573" w:rsidRDefault="00533573">
      <w:pPr>
        <w:rPr>
          <w:rFonts w:ascii="Arial" w:hAnsi="Arial" w:cs="Arial"/>
          <w:color w:val="222222"/>
          <w:shd w:val="clear" w:color="auto" w:fill="FFFFFF"/>
        </w:rPr>
      </w:pPr>
    </w:p>
    <w:p w14:paraId="0099313E" w14:textId="77777777" w:rsidR="00533573" w:rsidRDefault="00533573">
      <w:pPr>
        <w:rPr>
          <w:rFonts w:ascii="Arial" w:hAnsi="Arial" w:cs="Arial"/>
          <w:color w:val="222222"/>
          <w:shd w:val="clear" w:color="auto" w:fill="FFFFFF"/>
        </w:rPr>
      </w:pPr>
    </w:p>
    <w:p w14:paraId="1002B712" w14:textId="77777777" w:rsidR="00533573" w:rsidRDefault="00533573">
      <w:pPr>
        <w:rPr>
          <w:rFonts w:ascii="Arial" w:hAnsi="Arial" w:cs="Arial"/>
          <w:color w:val="222222"/>
          <w:shd w:val="clear" w:color="auto" w:fill="FFFFFF"/>
        </w:rPr>
      </w:pPr>
    </w:p>
    <w:p w14:paraId="5335F313" w14:textId="77777777" w:rsidR="00533573" w:rsidRDefault="00533573">
      <w:pPr>
        <w:rPr>
          <w:rFonts w:ascii="Arial" w:hAnsi="Arial" w:cs="Arial"/>
          <w:color w:val="222222"/>
          <w:shd w:val="clear" w:color="auto" w:fill="FFFFFF"/>
        </w:rPr>
      </w:pPr>
    </w:p>
    <w:p w14:paraId="57BAF475" w14:textId="77777777" w:rsidR="00533573" w:rsidRDefault="00533573">
      <w:pPr>
        <w:rPr>
          <w:rFonts w:ascii="Arial" w:hAnsi="Arial" w:cs="Arial"/>
          <w:color w:val="222222"/>
          <w:shd w:val="clear" w:color="auto" w:fill="FFFFFF"/>
        </w:rPr>
      </w:pPr>
    </w:p>
    <w:p w14:paraId="3A4118DA" w14:textId="77777777" w:rsidR="00533573" w:rsidRDefault="00533573">
      <w:pPr>
        <w:rPr>
          <w:rFonts w:ascii="Arial" w:hAnsi="Arial" w:cs="Arial"/>
          <w:color w:val="222222"/>
          <w:shd w:val="clear" w:color="auto" w:fill="FFFFFF"/>
        </w:rPr>
      </w:pPr>
    </w:p>
    <w:p w14:paraId="4F907D67" w14:textId="77777777" w:rsidR="00533573" w:rsidRDefault="00533573">
      <w:pPr>
        <w:rPr>
          <w:rFonts w:ascii="Arial" w:hAnsi="Arial" w:cs="Arial"/>
          <w:color w:val="222222"/>
          <w:shd w:val="clear" w:color="auto" w:fill="FFFFFF"/>
        </w:rPr>
      </w:pPr>
    </w:p>
    <w:p w14:paraId="11A6945B" w14:textId="77777777" w:rsidR="002C0AA6" w:rsidRDefault="002C0AA6">
      <w:pPr>
        <w:rPr>
          <w:rFonts w:ascii="Arial" w:hAnsi="Arial" w:cs="Arial"/>
          <w:color w:val="222222"/>
          <w:shd w:val="clear" w:color="auto" w:fill="FFFFFF"/>
        </w:rPr>
      </w:pPr>
    </w:p>
    <w:p w14:paraId="7527B0C1" w14:textId="773619F6" w:rsidR="00533573" w:rsidRDefault="00533573">
      <w:pPr>
        <w:rPr>
          <w:rFonts w:ascii="Arial" w:hAnsi="Arial" w:cs="Arial"/>
          <w:color w:val="222222"/>
          <w:shd w:val="clear" w:color="auto" w:fill="FFFFFF"/>
        </w:rPr>
      </w:pPr>
      <w:r w:rsidRPr="00533573">
        <w:rPr>
          <w:rFonts w:ascii="Arial" w:hAnsi="Arial" w:cs="Arial"/>
          <w:color w:val="222222"/>
          <w:shd w:val="clear" w:color="auto" w:fill="FFFFFF"/>
        </w:rPr>
        <w:t>Tabela 1.</w:t>
      </w: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7"/>
        <w:gridCol w:w="3387"/>
      </w:tblGrid>
      <w:tr w:rsidR="00533573" w14:paraId="6A0CCA5F" w14:textId="77777777" w:rsidTr="005E039A">
        <w:tc>
          <w:tcPr>
            <w:tcW w:w="3199" w:type="pct"/>
          </w:tcPr>
          <w:p w14:paraId="2CFFB8FD" w14:textId="77777777" w:rsidR="00533573" w:rsidRDefault="00533573" w:rsidP="005E039A"/>
        </w:tc>
        <w:tc>
          <w:tcPr>
            <w:tcW w:w="1801" w:type="pct"/>
          </w:tcPr>
          <w:p w14:paraId="696886EB" w14:textId="77777777" w:rsidR="00533573" w:rsidRDefault="00533573" w:rsidP="005E039A">
            <w:pPr>
              <w:jc w:val="center"/>
            </w:pPr>
            <w:r>
              <w:t>n (%)</w:t>
            </w:r>
          </w:p>
        </w:tc>
      </w:tr>
      <w:tr w:rsidR="00533573" w14:paraId="6ABBD5DD" w14:textId="77777777" w:rsidTr="005E039A">
        <w:tc>
          <w:tcPr>
            <w:tcW w:w="3199" w:type="pct"/>
            <w:tcBorders>
              <w:bottom w:val="single" w:sz="4" w:space="0" w:color="auto"/>
            </w:tcBorders>
          </w:tcPr>
          <w:p w14:paraId="07BC9906" w14:textId="77777777" w:rsidR="00533573" w:rsidRDefault="00533573" w:rsidP="005E039A"/>
        </w:tc>
        <w:tc>
          <w:tcPr>
            <w:tcW w:w="1801" w:type="pct"/>
            <w:tcBorders>
              <w:bottom w:val="single" w:sz="4" w:space="0" w:color="auto"/>
            </w:tcBorders>
          </w:tcPr>
          <w:p w14:paraId="69472DFB" w14:textId="77777777" w:rsidR="00533573" w:rsidRDefault="00533573" w:rsidP="005E039A">
            <w:pPr>
              <w:jc w:val="center"/>
            </w:pPr>
            <w:r>
              <w:t>n = 194</w:t>
            </w:r>
          </w:p>
        </w:tc>
      </w:tr>
      <w:tr w:rsidR="00533573" w14:paraId="648F6B88" w14:textId="77777777" w:rsidTr="005E039A">
        <w:tc>
          <w:tcPr>
            <w:tcW w:w="3199" w:type="pct"/>
            <w:tcBorders>
              <w:top w:val="single" w:sz="4" w:space="0" w:color="auto"/>
            </w:tcBorders>
          </w:tcPr>
          <w:p w14:paraId="43087DC4" w14:textId="77777777" w:rsidR="00533573" w:rsidRDefault="00533573" w:rsidP="005E039A">
            <w:r>
              <w:t>Sexo</w:t>
            </w:r>
          </w:p>
        </w:tc>
        <w:tc>
          <w:tcPr>
            <w:tcW w:w="1801" w:type="pct"/>
            <w:tcBorders>
              <w:top w:val="single" w:sz="4" w:space="0" w:color="auto"/>
            </w:tcBorders>
          </w:tcPr>
          <w:p w14:paraId="37CD930F" w14:textId="77777777" w:rsidR="00533573" w:rsidRDefault="00533573" w:rsidP="005E039A">
            <w:pPr>
              <w:jc w:val="center"/>
            </w:pPr>
          </w:p>
        </w:tc>
      </w:tr>
      <w:tr w:rsidR="00533573" w14:paraId="0C9FC4E2" w14:textId="77777777" w:rsidTr="005E039A">
        <w:tc>
          <w:tcPr>
            <w:tcW w:w="3199" w:type="pct"/>
          </w:tcPr>
          <w:p w14:paraId="6D1D2C60" w14:textId="77777777" w:rsidR="00533573" w:rsidRDefault="00533573" w:rsidP="005E039A">
            <w:pPr>
              <w:ind w:firstLine="164"/>
            </w:pPr>
            <w:r>
              <w:t>Feminino</w:t>
            </w:r>
          </w:p>
        </w:tc>
        <w:tc>
          <w:tcPr>
            <w:tcW w:w="1801" w:type="pct"/>
          </w:tcPr>
          <w:p w14:paraId="133C5544" w14:textId="77777777" w:rsidR="00533573" w:rsidRDefault="00533573" w:rsidP="005E039A">
            <w:pPr>
              <w:jc w:val="center"/>
            </w:pPr>
            <w:r>
              <w:t>102 (52,6)</w:t>
            </w:r>
          </w:p>
        </w:tc>
      </w:tr>
      <w:tr w:rsidR="00533573" w14:paraId="0710C4B1" w14:textId="77777777" w:rsidTr="005E039A">
        <w:tc>
          <w:tcPr>
            <w:tcW w:w="3199" w:type="pct"/>
          </w:tcPr>
          <w:p w14:paraId="6850C7E6" w14:textId="77777777" w:rsidR="00533573" w:rsidRDefault="00533573" w:rsidP="005E039A">
            <w:pPr>
              <w:ind w:firstLine="164"/>
            </w:pPr>
            <w:r>
              <w:t>Masculino</w:t>
            </w:r>
          </w:p>
        </w:tc>
        <w:tc>
          <w:tcPr>
            <w:tcW w:w="1801" w:type="pct"/>
          </w:tcPr>
          <w:p w14:paraId="7E11AC6D" w14:textId="77777777" w:rsidR="00533573" w:rsidRDefault="00533573" w:rsidP="005E039A">
            <w:pPr>
              <w:jc w:val="center"/>
            </w:pPr>
            <w:r>
              <w:t>92 (47,4)</w:t>
            </w:r>
          </w:p>
        </w:tc>
      </w:tr>
      <w:tr w:rsidR="00533573" w14:paraId="6435A91E" w14:textId="77777777" w:rsidTr="005E039A">
        <w:tc>
          <w:tcPr>
            <w:tcW w:w="3199" w:type="pct"/>
          </w:tcPr>
          <w:p w14:paraId="29566DC7" w14:textId="77777777" w:rsidR="00533573" w:rsidRDefault="00533573" w:rsidP="005E039A"/>
        </w:tc>
        <w:tc>
          <w:tcPr>
            <w:tcW w:w="1801" w:type="pct"/>
          </w:tcPr>
          <w:p w14:paraId="73BE3CF6" w14:textId="77777777" w:rsidR="00533573" w:rsidRDefault="00533573" w:rsidP="005E039A">
            <w:pPr>
              <w:jc w:val="center"/>
            </w:pPr>
          </w:p>
        </w:tc>
      </w:tr>
      <w:tr w:rsidR="00533573" w14:paraId="2D862421" w14:textId="77777777" w:rsidTr="005E039A">
        <w:tc>
          <w:tcPr>
            <w:tcW w:w="3199" w:type="pct"/>
          </w:tcPr>
          <w:p w14:paraId="79A5D88F" w14:textId="77777777" w:rsidR="00533573" w:rsidRDefault="00533573" w:rsidP="005E039A">
            <w:r>
              <w:t>Grupo</w:t>
            </w:r>
          </w:p>
        </w:tc>
        <w:tc>
          <w:tcPr>
            <w:tcW w:w="1801" w:type="pct"/>
          </w:tcPr>
          <w:p w14:paraId="6A71DF08" w14:textId="77777777" w:rsidR="00533573" w:rsidRDefault="00533573" w:rsidP="005E039A">
            <w:pPr>
              <w:jc w:val="center"/>
            </w:pPr>
          </w:p>
        </w:tc>
      </w:tr>
      <w:tr w:rsidR="00533573" w14:paraId="659AF97B" w14:textId="77777777" w:rsidTr="005E039A">
        <w:tc>
          <w:tcPr>
            <w:tcW w:w="3199" w:type="pct"/>
          </w:tcPr>
          <w:p w14:paraId="0E24C0E3" w14:textId="77777777" w:rsidR="00533573" w:rsidRDefault="00533573" w:rsidP="005E039A">
            <w:pPr>
              <w:ind w:firstLine="164"/>
            </w:pPr>
            <w:r>
              <w:t>Regular (Noturno)</w:t>
            </w:r>
          </w:p>
        </w:tc>
        <w:tc>
          <w:tcPr>
            <w:tcW w:w="1801" w:type="pct"/>
          </w:tcPr>
          <w:p w14:paraId="33086F1A" w14:textId="77777777" w:rsidR="00533573" w:rsidRDefault="00533573" w:rsidP="005E039A">
            <w:pPr>
              <w:jc w:val="center"/>
            </w:pPr>
            <w:r>
              <w:t>100 (51,5)</w:t>
            </w:r>
          </w:p>
        </w:tc>
      </w:tr>
      <w:tr w:rsidR="00533573" w14:paraId="32FCEBE9" w14:textId="77777777" w:rsidTr="005E039A">
        <w:tc>
          <w:tcPr>
            <w:tcW w:w="3199" w:type="pct"/>
          </w:tcPr>
          <w:p w14:paraId="0561D701" w14:textId="77777777" w:rsidR="00533573" w:rsidRDefault="00533573" w:rsidP="005E039A">
            <w:pPr>
              <w:ind w:firstLine="164"/>
            </w:pPr>
            <w:r>
              <w:t>Integral (Diurno)</w:t>
            </w:r>
          </w:p>
        </w:tc>
        <w:tc>
          <w:tcPr>
            <w:tcW w:w="1801" w:type="pct"/>
          </w:tcPr>
          <w:p w14:paraId="1581E362" w14:textId="77777777" w:rsidR="00533573" w:rsidRDefault="00533573" w:rsidP="005E039A">
            <w:pPr>
              <w:jc w:val="center"/>
            </w:pPr>
            <w:r>
              <w:t>94 (48,5)</w:t>
            </w:r>
          </w:p>
        </w:tc>
      </w:tr>
      <w:tr w:rsidR="00533573" w14:paraId="1EEBAE40" w14:textId="77777777" w:rsidTr="005E039A">
        <w:tc>
          <w:tcPr>
            <w:tcW w:w="3199" w:type="pct"/>
          </w:tcPr>
          <w:p w14:paraId="2BF32429" w14:textId="77777777" w:rsidR="00533573" w:rsidRDefault="00533573" w:rsidP="005E039A"/>
        </w:tc>
        <w:tc>
          <w:tcPr>
            <w:tcW w:w="1801" w:type="pct"/>
          </w:tcPr>
          <w:p w14:paraId="29BEFC8E" w14:textId="77777777" w:rsidR="00533573" w:rsidRDefault="00533573" w:rsidP="005E039A">
            <w:pPr>
              <w:jc w:val="center"/>
            </w:pPr>
          </w:p>
        </w:tc>
      </w:tr>
      <w:tr w:rsidR="00533573" w14:paraId="416338F6" w14:textId="77777777" w:rsidTr="005E039A">
        <w:tc>
          <w:tcPr>
            <w:tcW w:w="3199" w:type="pct"/>
          </w:tcPr>
          <w:p w14:paraId="52889ED9" w14:textId="77777777" w:rsidR="00533573" w:rsidRDefault="00533573" w:rsidP="005E039A">
            <w:r>
              <w:t>Turma</w:t>
            </w:r>
          </w:p>
        </w:tc>
        <w:tc>
          <w:tcPr>
            <w:tcW w:w="1801" w:type="pct"/>
          </w:tcPr>
          <w:p w14:paraId="5E42BD40" w14:textId="77777777" w:rsidR="00533573" w:rsidRDefault="00533573" w:rsidP="005E039A">
            <w:pPr>
              <w:jc w:val="center"/>
            </w:pPr>
          </w:p>
        </w:tc>
      </w:tr>
      <w:tr w:rsidR="00533573" w14:paraId="6D44C996" w14:textId="77777777" w:rsidTr="005E039A">
        <w:tc>
          <w:tcPr>
            <w:tcW w:w="3199" w:type="pct"/>
          </w:tcPr>
          <w:p w14:paraId="168D00BF" w14:textId="77777777" w:rsidR="00533573" w:rsidRDefault="00533573" w:rsidP="005E039A">
            <w:pPr>
              <w:ind w:firstLine="164"/>
            </w:pPr>
            <w:r>
              <w:t>1001 - Diurno</w:t>
            </w:r>
          </w:p>
        </w:tc>
        <w:tc>
          <w:tcPr>
            <w:tcW w:w="1801" w:type="pct"/>
          </w:tcPr>
          <w:p w14:paraId="3A626EE3" w14:textId="77777777" w:rsidR="00533573" w:rsidRDefault="00533573" w:rsidP="005E039A">
            <w:pPr>
              <w:jc w:val="center"/>
            </w:pPr>
            <w:r>
              <w:t>19 (9,8)</w:t>
            </w:r>
          </w:p>
        </w:tc>
      </w:tr>
      <w:tr w:rsidR="00533573" w14:paraId="0B0E6401" w14:textId="77777777" w:rsidTr="005E039A">
        <w:tc>
          <w:tcPr>
            <w:tcW w:w="3199" w:type="pct"/>
          </w:tcPr>
          <w:p w14:paraId="02F67881" w14:textId="77777777" w:rsidR="00533573" w:rsidRDefault="00533573" w:rsidP="005E039A">
            <w:pPr>
              <w:ind w:firstLine="164"/>
            </w:pPr>
            <w:r>
              <w:t>1002 – Diurno</w:t>
            </w:r>
          </w:p>
        </w:tc>
        <w:tc>
          <w:tcPr>
            <w:tcW w:w="1801" w:type="pct"/>
          </w:tcPr>
          <w:p w14:paraId="4479ADD3" w14:textId="77777777" w:rsidR="00533573" w:rsidRDefault="00533573" w:rsidP="005E039A">
            <w:pPr>
              <w:jc w:val="center"/>
            </w:pPr>
            <w:r>
              <w:t>19 (9,8)</w:t>
            </w:r>
          </w:p>
        </w:tc>
      </w:tr>
      <w:tr w:rsidR="00533573" w14:paraId="3D0BA194" w14:textId="77777777" w:rsidTr="005E039A">
        <w:tc>
          <w:tcPr>
            <w:tcW w:w="3199" w:type="pct"/>
          </w:tcPr>
          <w:p w14:paraId="421F3781" w14:textId="77777777" w:rsidR="00533573" w:rsidRDefault="00533573" w:rsidP="005E039A">
            <w:pPr>
              <w:ind w:firstLine="164"/>
            </w:pPr>
            <w:r>
              <w:t>1003 – Noturno</w:t>
            </w:r>
          </w:p>
        </w:tc>
        <w:tc>
          <w:tcPr>
            <w:tcW w:w="1801" w:type="pct"/>
          </w:tcPr>
          <w:p w14:paraId="42A13218" w14:textId="77777777" w:rsidR="00533573" w:rsidRDefault="00533573" w:rsidP="005E039A">
            <w:pPr>
              <w:jc w:val="center"/>
            </w:pPr>
            <w:r>
              <w:t>29 (14,9)</w:t>
            </w:r>
          </w:p>
        </w:tc>
      </w:tr>
      <w:tr w:rsidR="00533573" w14:paraId="348CFFFB" w14:textId="77777777" w:rsidTr="005E039A">
        <w:tc>
          <w:tcPr>
            <w:tcW w:w="3199" w:type="pct"/>
          </w:tcPr>
          <w:p w14:paraId="024282F6" w14:textId="77777777" w:rsidR="00533573" w:rsidRDefault="00533573" w:rsidP="005E039A">
            <w:pPr>
              <w:ind w:firstLine="164"/>
            </w:pPr>
            <w:r>
              <w:t>2001 – Diurno</w:t>
            </w:r>
          </w:p>
        </w:tc>
        <w:tc>
          <w:tcPr>
            <w:tcW w:w="1801" w:type="pct"/>
          </w:tcPr>
          <w:p w14:paraId="4CA6C2D3" w14:textId="77777777" w:rsidR="00533573" w:rsidRDefault="00533573" w:rsidP="005E039A">
            <w:pPr>
              <w:jc w:val="center"/>
            </w:pPr>
            <w:r>
              <w:t>20 (10,3)</w:t>
            </w:r>
          </w:p>
        </w:tc>
      </w:tr>
      <w:tr w:rsidR="00533573" w14:paraId="5053C8FE" w14:textId="77777777" w:rsidTr="005E039A">
        <w:tc>
          <w:tcPr>
            <w:tcW w:w="3199" w:type="pct"/>
          </w:tcPr>
          <w:p w14:paraId="20451D2C" w14:textId="77777777" w:rsidR="00533573" w:rsidRDefault="00533573" w:rsidP="005E039A">
            <w:pPr>
              <w:ind w:firstLine="164"/>
            </w:pPr>
            <w:r>
              <w:t>2002 – Diurno</w:t>
            </w:r>
          </w:p>
        </w:tc>
        <w:tc>
          <w:tcPr>
            <w:tcW w:w="1801" w:type="pct"/>
          </w:tcPr>
          <w:p w14:paraId="167CE46C" w14:textId="77777777" w:rsidR="00533573" w:rsidRDefault="00533573" w:rsidP="005E039A">
            <w:pPr>
              <w:jc w:val="center"/>
            </w:pPr>
            <w:r>
              <w:t>15 (7,7)</w:t>
            </w:r>
          </w:p>
        </w:tc>
      </w:tr>
      <w:tr w:rsidR="00533573" w14:paraId="134C6EA2" w14:textId="77777777" w:rsidTr="005E039A">
        <w:tc>
          <w:tcPr>
            <w:tcW w:w="3199" w:type="pct"/>
          </w:tcPr>
          <w:p w14:paraId="3952963C" w14:textId="77777777" w:rsidR="00533573" w:rsidRDefault="00533573" w:rsidP="005E039A">
            <w:pPr>
              <w:ind w:firstLine="164"/>
            </w:pPr>
            <w:r>
              <w:t>3001 – Diurno</w:t>
            </w:r>
          </w:p>
        </w:tc>
        <w:tc>
          <w:tcPr>
            <w:tcW w:w="1801" w:type="pct"/>
          </w:tcPr>
          <w:p w14:paraId="305A4D18" w14:textId="77777777" w:rsidR="00533573" w:rsidRDefault="00533573" w:rsidP="005E039A">
            <w:pPr>
              <w:jc w:val="center"/>
            </w:pPr>
            <w:r>
              <w:t>21 (10,8)</w:t>
            </w:r>
          </w:p>
        </w:tc>
      </w:tr>
      <w:tr w:rsidR="00533573" w14:paraId="4CC8E5DB" w14:textId="77777777" w:rsidTr="005E039A">
        <w:tc>
          <w:tcPr>
            <w:tcW w:w="3199" w:type="pct"/>
          </w:tcPr>
          <w:p w14:paraId="763CF951" w14:textId="77777777" w:rsidR="00533573" w:rsidRDefault="00533573" w:rsidP="005E039A">
            <w:pPr>
              <w:ind w:firstLine="164"/>
            </w:pPr>
            <w:r>
              <w:t>2004 – Noturno</w:t>
            </w:r>
          </w:p>
        </w:tc>
        <w:tc>
          <w:tcPr>
            <w:tcW w:w="1801" w:type="pct"/>
          </w:tcPr>
          <w:p w14:paraId="1C3588AC" w14:textId="77777777" w:rsidR="00533573" w:rsidRDefault="00533573" w:rsidP="005E039A">
            <w:pPr>
              <w:jc w:val="center"/>
            </w:pPr>
            <w:r>
              <w:t>21 (10,8)</w:t>
            </w:r>
          </w:p>
        </w:tc>
      </w:tr>
      <w:tr w:rsidR="00533573" w14:paraId="37E41FF3" w14:textId="77777777" w:rsidTr="005E039A">
        <w:tc>
          <w:tcPr>
            <w:tcW w:w="3199" w:type="pct"/>
          </w:tcPr>
          <w:p w14:paraId="5226E550" w14:textId="77777777" w:rsidR="00533573" w:rsidRDefault="00533573" w:rsidP="005E039A">
            <w:pPr>
              <w:ind w:firstLine="164"/>
            </w:pPr>
            <w:r>
              <w:t>3003 – Noturno</w:t>
            </w:r>
          </w:p>
        </w:tc>
        <w:tc>
          <w:tcPr>
            <w:tcW w:w="1801" w:type="pct"/>
          </w:tcPr>
          <w:p w14:paraId="39381756" w14:textId="77777777" w:rsidR="00533573" w:rsidRDefault="00533573" w:rsidP="005E039A">
            <w:pPr>
              <w:jc w:val="center"/>
            </w:pPr>
            <w:r>
              <w:t>23 (11,9)</w:t>
            </w:r>
          </w:p>
        </w:tc>
      </w:tr>
      <w:tr w:rsidR="00533573" w14:paraId="500E014D" w14:textId="77777777" w:rsidTr="005E039A">
        <w:tc>
          <w:tcPr>
            <w:tcW w:w="3199" w:type="pct"/>
          </w:tcPr>
          <w:p w14:paraId="45AA81B9" w14:textId="77777777" w:rsidR="00533573" w:rsidRDefault="00533573" w:rsidP="005E039A">
            <w:pPr>
              <w:ind w:firstLine="164"/>
            </w:pPr>
            <w:r>
              <w:t>3002 – Noturno</w:t>
            </w:r>
          </w:p>
        </w:tc>
        <w:tc>
          <w:tcPr>
            <w:tcW w:w="1801" w:type="pct"/>
          </w:tcPr>
          <w:p w14:paraId="393F64E2" w14:textId="77777777" w:rsidR="00533573" w:rsidRDefault="00533573" w:rsidP="005E039A">
            <w:pPr>
              <w:jc w:val="center"/>
            </w:pPr>
            <w:r>
              <w:t>27 (13,9)</w:t>
            </w:r>
          </w:p>
        </w:tc>
      </w:tr>
    </w:tbl>
    <w:p w14:paraId="13C94F9B" w14:textId="133C0561" w:rsidR="00533573" w:rsidRPr="0097134E" w:rsidRDefault="00533573">
      <w:pPr>
        <w:rPr>
          <w:rFonts w:ascii="Arial" w:hAnsi="Arial" w:cs="Arial"/>
          <w:shd w:val="clear" w:color="auto" w:fill="FFFFFF"/>
        </w:rPr>
      </w:pPr>
      <w:r w:rsidRPr="009E583D">
        <w:rPr>
          <w:sz w:val="20"/>
          <w:szCs w:val="20"/>
        </w:rPr>
        <w:t>Fonte: Dados da pesquisa, 2019.</w:t>
      </w:r>
    </w:p>
    <w:p w14:paraId="4FA079B2" w14:textId="2FBB0F25" w:rsidR="00BA73C7" w:rsidRDefault="0058449A">
      <w:pPr>
        <w:rPr>
          <w:rFonts w:ascii="Arial" w:hAnsi="Arial" w:cs="Arial"/>
        </w:rPr>
      </w:pPr>
      <w:r w:rsidRPr="0097134E" w:rsidDel="00D2412A">
        <w:rPr>
          <w:rFonts w:ascii="Arial" w:hAnsi="Arial" w:cs="Arial"/>
          <w:highlight w:val="yellow"/>
        </w:rPr>
        <w:t xml:space="preserve"> </w:t>
      </w:r>
    </w:p>
    <w:p w14:paraId="00A714E9" w14:textId="77777777" w:rsidR="00533573" w:rsidRDefault="00533573">
      <w:pPr>
        <w:rPr>
          <w:rFonts w:ascii="Arial" w:hAnsi="Arial" w:cs="Arial"/>
          <w:shd w:val="clear" w:color="auto" w:fill="FFFFFF"/>
        </w:rPr>
      </w:pPr>
    </w:p>
    <w:p w14:paraId="5606CCB0" w14:textId="77777777" w:rsidR="00533573" w:rsidRDefault="00533573">
      <w:pPr>
        <w:rPr>
          <w:rFonts w:ascii="Arial" w:hAnsi="Arial" w:cs="Arial"/>
          <w:shd w:val="clear" w:color="auto" w:fill="FFFFFF"/>
        </w:rPr>
      </w:pPr>
    </w:p>
    <w:p w14:paraId="28CE2BB1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086EED16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228A18EB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26EAC47E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1780D670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44AF5729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15AF9CE2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0D224D8A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78056CE3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032F44CB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476ECAD4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006811DF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33823CE1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2666454E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3C7D80BA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35C02CAC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287E98CE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1BB8D3E8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1CA6202F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2C2D67B1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64EFC91D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06E27E25" w14:textId="77777777" w:rsidR="00BF2958" w:rsidRDefault="00BF2958">
      <w:pPr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14:paraId="5E03593E" w14:textId="5A44FACE" w:rsidR="002C0AA6" w:rsidRDefault="002C0AA6">
      <w:pPr>
        <w:rPr>
          <w:rFonts w:ascii="Arial" w:hAnsi="Arial" w:cs="Arial"/>
          <w:shd w:val="clear" w:color="auto" w:fill="FFFFFF"/>
        </w:rPr>
      </w:pPr>
      <w:r w:rsidRPr="002C0AA6">
        <w:rPr>
          <w:rFonts w:ascii="Arial" w:hAnsi="Arial" w:cs="Arial"/>
          <w:shd w:val="clear" w:color="auto" w:fill="FFFFFF"/>
        </w:rPr>
        <w:t>Tabela 2.</w:t>
      </w: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971"/>
        <w:gridCol w:w="1054"/>
        <w:gridCol w:w="698"/>
        <w:gridCol w:w="1055"/>
        <w:gridCol w:w="1055"/>
        <w:gridCol w:w="698"/>
        <w:gridCol w:w="1055"/>
        <w:gridCol w:w="1055"/>
        <w:gridCol w:w="698"/>
      </w:tblGrid>
      <w:tr w:rsidR="00533573" w:rsidRPr="00123EB1" w14:paraId="7F7E5455" w14:textId="77777777" w:rsidTr="002C0AA6">
        <w:tc>
          <w:tcPr>
            <w:tcW w:w="566" w:type="pct"/>
          </w:tcPr>
          <w:p w14:paraId="6D1CA2B1" w14:textId="77777777" w:rsidR="00533573" w:rsidRPr="00123EB1" w:rsidRDefault="00533573" w:rsidP="005E039A">
            <w:pPr>
              <w:rPr>
                <w:sz w:val="20"/>
                <w:szCs w:val="20"/>
              </w:rPr>
            </w:pPr>
          </w:p>
        </w:tc>
        <w:tc>
          <w:tcPr>
            <w:tcW w:w="4434" w:type="pct"/>
            <w:gridSpan w:val="9"/>
          </w:tcPr>
          <w:p w14:paraId="7E9A460D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Média ± Desvio Padrão, n (%)</w:t>
            </w:r>
          </w:p>
        </w:tc>
      </w:tr>
      <w:tr w:rsidR="00533573" w:rsidRPr="00123EB1" w14:paraId="6CE05084" w14:textId="77777777" w:rsidTr="002C0AA6">
        <w:tc>
          <w:tcPr>
            <w:tcW w:w="566" w:type="pct"/>
            <w:vMerge w:val="restart"/>
            <w:vAlign w:val="center"/>
          </w:tcPr>
          <w:p w14:paraId="2C764B93" w14:textId="77777777" w:rsidR="00533573" w:rsidRPr="00123EB1" w:rsidRDefault="00533573" w:rsidP="005E039A">
            <w:pPr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Feminino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3E0245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1º Ano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vAlign w:val="center"/>
          </w:tcPr>
          <w:p w14:paraId="52E9EFED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Valor-p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A62F49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2º Ano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vAlign w:val="center"/>
          </w:tcPr>
          <w:p w14:paraId="4970FBB4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Valor-p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750FB8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3º Ano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vAlign w:val="center"/>
          </w:tcPr>
          <w:p w14:paraId="3BE8CBD4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Valor-p</w:t>
            </w:r>
          </w:p>
        </w:tc>
      </w:tr>
      <w:tr w:rsidR="00533573" w:rsidRPr="00123EB1" w14:paraId="6795D053" w14:textId="77777777" w:rsidTr="002C0AA6">
        <w:tc>
          <w:tcPr>
            <w:tcW w:w="566" w:type="pct"/>
            <w:vMerge/>
          </w:tcPr>
          <w:p w14:paraId="747DC33F" w14:textId="77777777" w:rsidR="00533573" w:rsidRPr="00123EB1" w:rsidRDefault="00533573" w:rsidP="005E039A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EEECE1" w:themeFill="background2"/>
          </w:tcPr>
          <w:p w14:paraId="17B84C4A" w14:textId="77777777" w:rsidR="00533573" w:rsidRPr="00C355CA" w:rsidRDefault="00533573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Integral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5364DD" w14:textId="77777777" w:rsidR="00533573" w:rsidRPr="00C355CA" w:rsidRDefault="00533573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371" w:type="pct"/>
            <w:vMerge/>
          </w:tcPr>
          <w:p w14:paraId="5E512BAE" w14:textId="77777777" w:rsidR="00533573" w:rsidRPr="00C355CA" w:rsidRDefault="00533573" w:rsidP="005E03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EEECE1" w:themeFill="background2"/>
          </w:tcPr>
          <w:p w14:paraId="6B05914B" w14:textId="77777777" w:rsidR="00533573" w:rsidRPr="00C355CA" w:rsidRDefault="00533573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Integral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A3D757" w14:textId="77777777" w:rsidR="00533573" w:rsidRPr="00C355CA" w:rsidRDefault="00533573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371" w:type="pct"/>
            <w:vMerge/>
          </w:tcPr>
          <w:p w14:paraId="5B89106D" w14:textId="77777777" w:rsidR="00533573" w:rsidRPr="00C355CA" w:rsidRDefault="00533573" w:rsidP="005E03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EEECE1" w:themeFill="background2"/>
          </w:tcPr>
          <w:p w14:paraId="34480E0C" w14:textId="77777777" w:rsidR="00533573" w:rsidRPr="00C355CA" w:rsidRDefault="00533573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Integral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4FC424" w14:textId="77777777" w:rsidR="00533573" w:rsidRPr="00C355CA" w:rsidRDefault="00533573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371" w:type="pct"/>
            <w:vMerge/>
          </w:tcPr>
          <w:p w14:paraId="4E24747D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</w:tr>
      <w:tr w:rsidR="00533573" w:rsidRPr="00123EB1" w14:paraId="5ABA1544" w14:textId="77777777" w:rsidTr="002C0AA6">
        <w:tc>
          <w:tcPr>
            <w:tcW w:w="566" w:type="pct"/>
            <w:tcBorders>
              <w:bottom w:val="single" w:sz="4" w:space="0" w:color="auto"/>
            </w:tcBorders>
          </w:tcPr>
          <w:p w14:paraId="7965F616" w14:textId="77777777" w:rsidR="00533573" w:rsidRPr="00123EB1" w:rsidRDefault="00533573" w:rsidP="005E039A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EEECE1" w:themeFill="background2"/>
          </w:tcPr>
          <w:p w14:paraId="579EA672" w14:textId="77777777" w:rsidR="00533573" w:rsidRPr="00C355CA" w:rsidRDefault="00533573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n = 19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45860" w14:textId="77777777" w:rsidR="00533573" w:rsidRPr="00C355CA" w:rsidRDefault="00533573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n = 17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14:paraId="309F4978" w14:textId="77777777" w:rsidR="00533573" w:rsidRPr="00C355CA" w:rsidRDefault="00533573" w:rsidP="005E03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EEECE1" w:themeFill="background2"/>
          </w:tcPr>
          <w:p w14:paraId="69D25E54" w14:textId="77777777" w:rsidR="00533573" w:rsidRPr="00C355CA" w:rsidRDefault="00533573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n = 22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799F45" w14:textId="77777777" w:rsidR="00533573" w:rsidRPr="00C355CA" w:rsidRDefault="00533573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n = 8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14:paraId="42E00357" w14:textId="77777777" w:rsidR="00533573" w:rsidRPr="00C355CA" w:rsidRDefault="00533573" w:rsidP="005E03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EEECE1" w:themeFill="background2"/>
          </w:tcPr>
          <w:p w14:paraId="26ED0250" w14:textId="77777777" w:rsidR="00533573" w:rsidRPr="00C355CA" w:rsidRDefault="00533573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n = 10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7E8B81" w14:textId="77777777" w:rsidR="00533573" w:rsidRPr="00C355CA" w:rsidRDefault="00533573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n = 26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14:paraId="2ABAC8E7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</w:tr>
      <w:tr w:rsidR="00533573" w:rsidRPr="00123EB1" w14:paraId="25F43B09" w14:textId="77777777" w:rsidTr="002C0AA6">
        <w:tc>
          <w:tcPr>
            <w:tcW w:w="566" w:type="pct"/>
            <w:tcBorders>
              <w:top w:val="single" w:sz="4" w:space="0" w:color="auto"/>
            </w:tcBorders>
          </w:tcPr>
          <w:p w14:paraId="2FCEB941" w14:textId="77777777" w:rsidR="00533573" w:rsidRPr="00C355CA" w:rsidRDefault="00533573" w:rsidP="005E039A">
            <w:pPr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Peso (kg)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EEECE1" w:themeFill="background2"/>
          </w:tcPr>
          <w:p w14:paraId="28A5CD81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55,84±6,56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C98E00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61,24±16,92</w:t>
            </w:r>
          </w:p>
        </w:tc>
        <w:tc>
          <w:tcPr>
            <w:tcW w:w="371" w:type="pct"/>
            <w:tcBorders>
              <w:top w:val="single" w:sz="4" w:space="0" w:color="auto"/>
            </w:tcBorders>
          </w:tcPr>
          <w:p w14:paraId="7E59826B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0,573</w:t>
            </w:r>
            <w:r w:rsidRPr="00123EB1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EEECE1" w:themeFill="background2"/>
          </w:tcPr>
          <w:p w14:paraId="4AED3CC7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63,77±13,34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418C84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59,00±16,90</w:t>
            </w:r>
          </w:p>
        </w:tc>
        <w:tc>
          <w:tcPr>
            <w:tcW w:w="371" w:type="pct"/>
            <w:tcBorders>
              <w:top w:val="single" w:sz="4" w:space="0" w:color="auto"/>
            </w:tcBorders>
          </w:tcPr>
          <w:p w14:paraId="0FB85EDA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0,344</w:t>
            </w:r>
            <w:r w:rsidRPr="00123EB1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EEECE1" w:themeFill="background2"/>
          </w:tcPr>
          <w:p w14:paraId="2F1B7BD5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62,50±11,14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6A5B6B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56,15±11,07</w:t>
            </w:r>
          </w:p>
        </w:tc>
        <w:tc>
          <w:tcPr>
            <w:tcW w:w="371" w:type="pct"/>
            <w:tcBorders>
              <w:top w:val="single" w:sz="4" w:space="0" w:color="auto"/>
            </w:tcBorders>
          </w:tcPr>
          <w:p w14:paraId="2741E4D3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0,031</w:t>
            </w:r>
            <w:r w:rsidRPr="00123EB1">
              <w:rPr>
                <w:sz w:val="20"/>
                <w:szCs w:val="20"/>
                <w:vertAlign w:val="superscript"/>
              </w:rPr>
              <w:t>‡</w:t>
            </w:r>
          </w:p>
        </w:tc>
      </w:tr>
      <w:tr w:rsidR="00533573" w:rsidRPr="00123EB1" w14:paraId="773BED01" w14:textId="77777777" w:rsidTr="002C0AA6">
        <w:tc>
          <w:tcPr>
            <w:tcW w:w="566" w:type="pct"/>
          </w:tcPr>
          <w:p w14:paraId="25898D95" w14:textId="77777777" w:rsidR="00533573" w:rsidRPr="00C355CA" w:rsidRDefault="00533573" w:rsidP="005E039A">
            <w:pPr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Altura (m)</w:t>
            </w:r>
          </w:p>
        </w:tc>
        <w:tc>
          <w:tcPr>
            <w:tcW w:w="516" w:type="pct"/>
            <w:shd w:val="clear" w:color="auto" w:fill="EEECE1" w:themeFill="background2"/>
          </w:tcPr>
          <w:p w14:paraId="29094148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1,60±0,08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14:paraId="631A2AD1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1,64±0,06</w:t>
            </w:r>
          </w:p>
        </w:tc>
        <w:tc>
          <w:tcPr>
            <w:tcW w:w="371" w:type="pct"/>
          </w:tcPr>
          <w:p w14:paraId="7DE96E96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0,091</w:t>
            </w:r>
            <w:r w:rsidRPr="00123EB1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61" w:type="pct"/>
            <w:shd w:val="clear" w:color="auto" w:fill="EEECE1" w:themeFill="background2"/>
          </w:tcPr>
          <w:p w14:paraId="7F446873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1,64±0,06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7E67FCA2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1,62±0,08</w:t>
            </w:r>
          </w:p>
        </w:tc>
        <w:tc>
          <w:tcPr>
            <w:tcW w:w="371" w:type="pct"/>
          </w:tcPr>
          <w:p w14:paraId="7653D29A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0,390</w:t>
            </w:r>
            <w:r w:rsidRPr="00123EB1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61" w:type="pct"/>
            <w:shd w:val="clear" w:color="auto" w:fill="EEECE1" w:themeFill="background2"/>
          </w:tcPr>
          <w:p w14:paraId="08C3529D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1,63±0,07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4844FD78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1,61±0,07</w:t>
            </w:r>
          </w:p>
        </w:tc>
        <w:tc>
          <w:tcPr>
            <w:tcW w:w="371" w:type="pct"/>
          </w:tcPr>
          <w:p w14:paraId="19BCB36C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0,560</w:t>
            </w:r>
            <w:r w:rsidRPr="00123EB1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533573" w:rsidRPr="00123EB1" w14:paraId="31394F91" w14:textId="77777777" w:rsidTr="002C0AA6">
        <w:tc>
          <w:tcPr>
            <w:tcW w:w="566" w:type="pct"/>
          </w:tcPr>
          <w:p w14:paraId="51003719" w14:textId="77777777" w:rsidR="00533573" w:rsidRPr="00C355CA" w:rsidRDefault="00533573" w:rsidP="005E039A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EEECE1" w:themeFill="background2"/>
          </w:tcPr>
          <w:p w14:paraId="104E9E1D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2F2F2" w:themeFill="background1" w:themeFillShade="F2"/>
          </w:tcPr>
          <w:p w14:paraId="331484D2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35382E4D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EEECE1" w:themeFill="background2"/>
          </w:tcPr>
          <w:p w14:paraId="47551AC9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2F2F2" w:themeFill="background1" w:themeFillShade="F2"/>
          </w:tcPr>
          <w:p w14:paraId="26F1708E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1777C1C5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EEECE1" w:themeFill="background2"/>
          </w:tcPr>
          <w:p w14:paraId="68514F4C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2F2F2" w:themeFill="background1" w:themeFillShade="F2"/>
          </w:tcPr>
          <w:p w14:paraId="125C014F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6EAB0059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</w:tr>
      <w:tr w:rsidR="00533573" w:rsidRPr="00123EB1" w14:paraId="44790E06" w14:textId="77777777" w:rsidTr="002C0AA6">
        <w:tc>
          <w:tcPr>
            <w:tcW w:w="566" w:type="pct"/>
          </w:tcPr>
          <w:p w14:paraId="7EAE439D" w14:textId="77777777" w:rsidR="00533573" w:rsidRPr="00C355CA" w:rsidRDefault="00533573" w:rsidP="005E039A">
            <w:pPr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Dobra cutânea</w:t>
            </w:r>
          </w:p>
        </w:tc>
        <w:tc>
          <w:tcPr>
            <w:tcW w:w="516" w:type="pct"/>
            <w:shd w:val="clear" w:color="auto" w:fill="EEECE1" w:themeFill="background2"/>
          </w:tcPr>
          <w:p w14:paraId="7E64EB59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2F2F2" w:themeFill="background1" w:themeFillShade="F2"/>
          </w:tcPr>
          <w:p w14:paraId="00A5A55B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6DC53673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EEECE1" w:themeFill="background2"/>
          </w:tcPr>
          <w:p w14:paraId="41C6C1EE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2F2F2" w:themeFill="background1" w:themeFillShade="F2"/>
          </w:tcPr>
          <w:p w14:paraId="010A98EA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0E98E722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EEECE1" w:themeFill="background2"/>
          </w:tcPr>
          <w:p w14:paraId="1AE7B795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2F2F2" w:themeFill="background1" w:themeFillShade="F2"/>
          </w:tcPr>
          <w:p w14:paraId="467A7EE5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6462FC61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</w:tr>
      <w:tr w:rsidR="00533573" w:rsidRPr="00123EB1" w14:paraId="7C04390C" w14:textId="77777777" w:rsidTr="002C0AA6">
        <w:tc>
          <w:tcPr>
            <w:tcW w:w="566" w:type="pct"/>
          </w:tcPr>
          <w:p w14:paraId="731BCE86" w14:textId="77777777" w:rsidR="00533573" w:rsidRPr="00C355CA" w:rsidRDefault="00533573" w:rsidP="005E039A">
            <w:pPr>
              <w:ind w:firstLine="164"/>
              <w:rPr>
                <w:sz w:val="20"/>
                <w:szCs w:val="20"/>
              </w:rPr>
            </w:pPr>
            <w:r w:rsidRPr="00C355CA">
              <w:rPr>
                <w:sz w:val="20"/>
                <w:szCs w:val="20"/>
              </w:rPr>
              <w:t>Tricipital</w:t>
            </w:r>
          </w:p>
        </w:tc>
        <w:tc>
          <w:tcPr>
            <w:tcW w:w="516" w:type="pct"/>
            <w:shd w:val="clear" w:color="auto" w:fill="EEECE1" w:themeFill="background2"/>
          </w:tcPr>
          <w:p w14:paraId="0CCEDC6D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17,26±5,90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14:paraId="76EAEAE1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16,41±6,06</w:t>
            </w:r>
          </w:p>
        </w:tc>
        <w:tc>
          <w:tcPr>
            <w:tcW w:w="371" w:type="pct"/>
          </w:tcPr>
          <w:p w14:paraId="2D41BD2A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0,707</w:t>
            </w:r>
            <w:r w:rsidRPr="00123EB1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shd w:val="clear" w:color="auto" w:fill="EEECE1" w:themeFill="background2"/>
          </w:tcPr>
          <w:p w14:paraId="4E02BED0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19,41±4,83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5A5F0123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17,88±6,53</w:t>
            </w:r>
          </w:p>
        </w:tc>
        <w:tc>
          <w:tcPr>
            <w:tcW w:w="371" w:type="pct"/>
          </w:tcPr>
          <w:p w14:paraId="09BB71D0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0,475</w:t>
            </w:r>
            <w:r w:rsidRPr="00123EB1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shd w:val="clear" w:color="auto" w:fill="EEECE1" w:themeFill="background2"/>
          </w:tcPr>
          <w:p w14:paraId="7709E0B9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18,30±4,64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50FF00D5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16,54±4,54</w:t>
            </w:r>
          </w:p>
        </w:tc>
        <w:tc>
          <w:tcPr>
            <w:tcW w:w="371" w:type="pct"/>
          </w:tcPr>
          <w:p w14:paraId="61CFCD4F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0,308</w:t>
            </w:r>
            <w:r w:rsidRPr="00123EB1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533573" w:rsidRPr="00123EB1" w14:paraId="1189BF73" w14:textId="77777777" w:rsidTr="002C0AA6">
        <w:tc>
          <w:tcPr>
            <w:tcW w:w="566" w:type="pct"/>
          </w:tcPr>
          <w:p w14:paraId="490D6A09" w14:textId="77777777" w:rsidR="00533573" w:rsidRPr="00C355CA" w:rsidRDefault="00533573" w:rsidP="005E039A">
            <w:pPr>
              <w:ind w:firstLine="164"/>
              <w:rPr>
                <w:sz w:val="20"/>
                <w:szCs w:val="20"/>
              </w:rPr>
            </w:pPr>
            <w:r w:rsidRPr="00C355CA">
              <w:rPr>
                <w:sz w:val="20"/>
                <w:szCs w:val="20"/>
              </w:rPr>
              <w:t>Escapular</w:t>
            </w:r>
          </w:p>
        </w:tc>
        <w:tc>
          <w:tcPr>
            <w:tcW w:w="516" w:type="pct"/>
            <w:shd w:val="clear" w:color="auto" w:fill="EEECE1" w:themeFill="background2"/>
          </w:tcPr>
          <w:p w14:paraId="22A9ABAB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13,89±5,44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14:paraId="622B9523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13,82±7,03</w:t>
            </w:r>
          </w:p>
        </w:tc>
        <w:tc>
          <w:tcPr>
            <w:tcW w:w="371" w:type="pct"/>
          </w:tcPr>
          <w:p w14:paraId="3D054DA3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0,639</w:t>
            </w:r>
            <w:r w:rsidRPr="00123EB1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shd w:val="clear" w:color="auto" w:fill="EEECE1" w:themeFill="background2"/>
          </w:tcPr>
          <w:p w14:paraId="0F802B9A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15,59±7,09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43156E10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13,13±5,38</w:t>
            </w:r>
          </w:p>
        </w:tc>
        <w:tc>
          <w:tcPr>
            <w:tcW w:w="371" w:type="pct"/>
          </w:tcPr>
          <w:p w14:paraId="282C41B7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0,629</w:t>
            </w:r>
            <w:r w:rsidRPr="00123EB1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shd w:val="clear" w:color="auto" w:fill="EEECE1" w:themeFill="background2"/>
          </w:tcPr>
          <w:p w14:paraId="44E1E485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15,80±5,71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29089065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13,81±5,16</w:t>
            </w:r>
          </w:p>
        </w:tc>
        <w:tc>
          <w:tcPr>
            <w:tcW w:w="371" w:type="pct"/>
          </w:tcPr>
          <w:p w14:paraId="48983082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0,303</w:t>
            </w:r>
            <w:r w:rsidRPr="00123EB1">
              <w:rPr>
                <w:sz w:val="20"/>
                <w:szCs w:val="20"/>
                <w:vertAlign w:val="superscript"/>
              </w:rPr>
              <w:t>‡</w:t>
            </w:r>
          </w:p>
        </w:tc>
      </w:tr>
      <w:tr w:rsidR="00533573" w:rsidRPr="00123EB1" w14:paraId="6D55BA9B" w14:textId="77777777" w:rsidTr="002C0AA6">
        <w:tc>
          <w:tcPr>
            <w:tcW w:w="566" w:type="pct"/>
          </w:tcPr>
          <w:p w14:paraId="6C82588B" w14:textId="77777777" w:rsidR="00533573" w:rsidRPr="00C355CA" w:rsidRDefault="00533573" w:rsidP="005E039A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EEECE1" w:themeFill="background2"/>
          </w:tcPr>
          <w:p w14:paraId="5F8BCE6C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2F2F2" w:themeFill="background1" w:themeFillShade="F2"/>
          </w:tcPr>
          <w:p w14:paraId="117ADDE1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319EAFA5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EEECE1" w:themeFill="background2"/>
          </w:tcPr>
          <w:p w14:paraId="2FC51B8B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2F2F2" w:themeFill="background1" w:themeFillShade="F2"/>
          </w:tcPr>
          <w:p w14:paraId="37BE6BBA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1F379C4F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EEECE1" w:themeFill="background2"/>
          </w:tcPr>
          <w:p w14:paraId="33743F18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2F2F2" w:themeFill="background1" w:themeFillShade="F2"/>
          </w:tcPr>
          <w:p w14:paraId="0DA53EA2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17608833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</w:tr>
      <w:tr w:rsidR="00533573" w:rsidRPr="00123EB1" w14:paraId="4CEE713E" w14:textId="77777777" w:rsidTr="002C0AA6">
        <w:tc>
          <w:tcPr>
            <w:tcW w:w="566" w:type="pct"/>
          </w:tcPr>
          <w:p w14:paraId="0CE4C15A" w14:textId="77777777" w:rsidR="00533573" w:rsidRPr="00C355CA" w:rsidRDefault="00533573" w:rsidP="005E039A">
            <w:pPr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IMC</w:t>
            </w:r>
          </w:p>
        </w:tc>
        <w:tc>
          <w:tcPr>
            <w:tcW w:w="516" w:type="pct"/>
            <w:shd w:val="clear" w:color="auto" w:fill="EEECE1" w:themeFill="background2"/>
          </w:tcPr>
          <w:p w14:paraId="3EDA42AE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21,79±2,76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14:paraId="563CF4C3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21,58±8,21</w:t>
            </w:r>
          </w:p>
        </w:tc>
        <w:tc>
          <w:tcPr>
            <w:tcW w:w="371" w:type="pct"/>
          </w:tcPr>
          <w:p w14:paraId="7B86B7B9" w14:textId="77777777" w:rsidR="00533573" w:rsidRPr="00F51BF1" w:rsidRDefault="00533573" w:rsidP="005E039A">
            <w:pPr>
              <w:jc w:val="center"/>
              <w:rPr>
                <w:sz w:val="20"/>
                <w:szCs w:val="20"/>
              </w:rPr>
            </w:pPr>
            <w:r w:rsidRPr="00F51BF1">
              <w:rPr>
                <w:sz w:val="20"/>
                <w:szCs w:val="20"/>
              </w:rPr>
              <w:t>0,433</w:t>
            </w:r>
            <w:r w:rsidRPr="00F51BF1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shd w:val="clear" w:color="auto" w:fill="EEECE1" w:themeFill="background2"/>
          </w:tcPr>
          <w:p w14:paraId="7A434112" w14:textId="77777777" w:rsidR="00533573" w:rsidRPr="00F51BF1" w:rsidRDefault="00533573" w:rsidP="005E039A">
            <w:pPr>
              <w:jc w:val="center"/>
              <w:rPr>
                <w:sz w:val="20"/>
                <w:szCs w:val="20"/>
              </w:rPr>
            </w:pPr>
            <w:r w:rsidRPr="00F51BF1">
              <w:rPr>
                <w:sz w:val="20"/>
                <w:szCs w:val="20"/>
              </w:rPr>
              <w:t>23,53±4,35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01243BF7" w14:textId="77777777" w:rsidR="00533573" w:rsidRPr="00F51BF1" w:rsidRDefault="00533573" w:rsidP="005E039A">
            <w:pPr>
              <w:jc w:val="center"/>
              <w:rPr>
                <w:sz w:val="20"/>
                <w:szCs w:val="20"/>
              </w:rPr>
            </w:pPr>
            <w:r w:rsidRPr="00F51BF1">
              <w:rPr>
                <w:sz w:val="20"/>
                <w:szCs w:val="20"/>
              </w:rPr>
              <w:t>22,46±6,46</w:t>
            </w:r>
          </w:p>
        </w:tc>
        <w:tc>
          <w:tcPr>
            <w:tcW w:w="371" w:type="pct"/>
          </w:tcPr>
          <w:p w14:paraId="661D1FE9" w14:textId="77777777" w:rsidR="00533573" w:rsidRPr="00F51BF1" w:rsidRDefault="00533573" w:rsidP="005E039A">
            <w:pPr>
              <w:jc w:val="center"/>
              <w:rPr>
                <w:sz w:val="20"/>
                <w:szCs w:val="20"/>
              </w:rPr>
            </w:pPr>
            <w:r w:rsidRPr="00F51BF1">
              <w:rPr>
                <w:sz w:val="20"/>
                <w:szCs w:val="20"/>
              </w:rPr>
              <w:t>0,219</w:t>
            </w:r>
            <w:r w:rsidRPr="00F51BF1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shd w:val="clear" w:color="auto" w:fill="EEECE1" w:themeFill="background2"/>
          </w:tcPr>
          <w:p w14:paraId="065E1BCB" w14:textId="77777777" w:rsidR="00533573" w:rsidRPr="00F51BF1" w:rsidRDefault="00533573" w:rsidP="005E039A">
            <w:pPr>
              <w:jc w:val="center"/>
              <w:rPr>
                <w:sz w:val="20"/>
                <w:szCs w:val="20"/>
              </w:rPr>
            </w:pPr>
            <w:r w:rsidRPr="00F51BF1">
              <w:rPr>
                <w:sz w:val="20"/>
                <w:szCs w:val="20"/>
              </w:rPr>
              <w:t>23,51±3,77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635CFA22" w14:textId="77777777" w:rsidR="00533573" w:rsidRPr="00F51BF1" w:rsidRDefault="00533573" w:rsidP="005E039A">
            <w:pPr>
              <w:jc w:val="center"/>
              <w:rPr>
                <w:sz w:val="20"/>
                <w:szCs w:val="20"/>
              </w:rPr>
            </w:pPr>
            <w:r w:rsidRPr="00F51BF1">
              <w:rPr>
                <w:sz w:val="20"/>
                <w:szCs w:val="20"/>
              </w:rPr>
              <w:t>21,52±3,61</w:t>
            </w:r>
          </w:p>
        </w:tc>
        <w:tc>
          <w:tcPr>
            <w:tcW w:w="371" w:type="pct"/>
          </w:tcPr>
          <w:p w14:paraId="00F4DDD2" w14:textId="77777777" w:rsidR="00533573" w:rsidRPr="00F51BF1" w:rsidRDefault="00533573" w:rsidP="005E039A">
            <w:pPr>
              <w:jc w:val="center"/>
              <w:rPr>
                <w:sz w:val="20"/>
                <w:szCs w:val="20"/>
              </w:rPr>
            </w:pPr>
            <w:r w:rsidRPr="00F51BF1">
              <w:rPr>
                <w:sz w:val="20"/>
                <w:szCs w:val="20"/>
              </w:rPr>
              <w:t>0,080</w:t>
            </w:r>
            <w:r w:rsidRPr="00F51BF1">
              <w:rPr>
                <w:sz w:val="20"/>
                <w:szCs w:val="20"/>
                <w:vertAlign w:val="superscript"/>
              </w:rPr>
              <w:t>‡</w:t>
            </w:r>
          </w:p>
        </w:tc>
      </w:tr>
      <w:tr w:rsidR="00533573" w:rsidRPr="00123EB1" w14:paraId="1D5CC771" w14:textId="77777777" w:rsidTr="002C0AA6">
        <w:tc>
          <w:tcPr>
            <w:tcW w:w="566" w:type="pct"/>
          </w:tcPr>
          <w:p w14:paraId="727B3AF4" w14:textId="77777777" w:rsidR="00533573" w:rsidRPr="00C355CA" w:rsidRDefault="00533573" w:rsidP="005E039A">
            <w:pPr>
              <w:ind w:firstLine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Abaixo do peso</w:t>
            </w:r>
          </w:p>
        </w:tc>
        <w:tc>
          <w:tcPr>
            <w:tcW w:w="516" w:type="pct"/>
            <w:shd w:val="clear" w:color="auto" w:fill="EEECE1" w:themeFill="background2"/>
          </w:tcPr>
          <w:p w14:paraId="7C91895D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(5,3)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14:paraId="764FB62F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(29,4)</w:t>
            </w:r>
          </w:p>
        </w:tc>
        <w:tc>
          <w:tcPr>
            <w:tcW w:w="371" w:type="pct"/>
          </w:tcPr>
          <w:p w14:paraId="6B0D1D96" w14:textId="77777777" w:rsidR="00533573" w:rsidRPr="00F51BF1" w:rsidRDefault="00533573" w:rsidP="005E039A">
            <w:pPr>
              <w:jc w:val="center"/>
              <w:rPr>
                <w:sz w:val="20"/>
                <w:szCs w:val="20"/>
              </w:rPr>
            </w:pPr>
            <w:r w:rsidRPr="00F51BF1">
              <w:rPr>
                <w:sz w:val="20"/>
                <w:szCs w:val="20"/>
              </w:rPr>
              <w:t>0,040</w:t>
            </w:r>
            <w:r w:rsidRPr="00F51BF1">
              <w:rPr>
                <w:sz w:val="20"/>
                <w:szCs w:val="20"/>
                <w:vertAlign w:val="superscript"/>
              </w:rPr>
              <w:t>††</w:t>
            </w:r>
          </w:p>
        </w:tc>
        <w:tc>
          <w:tcPr>
            <w:tcW w:w="561" w:type="pct"/>
            <w:shd w:val="clear" w:color="auto" w:fill="EEECE1" w:themeFill="background2"/>
          </w:tcPr>
          <w:p w14:paraId="7134EEB6" w14:textId="77777777" w:rsidR="00533573" w:rsidRPr="00F51BF1" w:rsidRDefault="00533573" w:rsidP="005E039A">
            <w:pPr>
              <w:jc w:val="center"/>
              <w:rPr>
                <w:sz w:val="20"/>
                <w:szCs w:val="20"/>
              </w:rPr>
            </w:pPr>
            <w:r w:rsidRPr="00F51BF1">
              <w:rPr>
                <w:sz w:val="20"/>
                <w:szCs w:val="20"/>
              </w:rPr>
              <w:t>1 (4,5)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16B6B9A0" w14:textId="77777777" w:rsidR="00533573" w:rsidRPr="00F51BF1" w:rsidRDefault="00533573" w:rsidP="005E039A">
            <w:pPr>
              <w:jc w:val="center"/>
              <w:rPr>
                <w:sz w:val="20"/>
                <w:szCs w:val="20"/>
              </w:rPr>
            </w:pPr>
            <w:r w:rsidRPr="00F51BF1">
              <w:rPr>
                <w:sz w:val="20"/>
                <w:szCs w:val="20"/>
              </w:rPr>
              <w:t>2 (25,0)</w:t>
            </w:r>
          </w:p>
        </w:tc>
        <w:tc>
          <w:tcPr>
            <w:tcW w:w="371" w:type="pct"/>
          </w:tcPr>
          <w:p w14:paraId="7AFBEC30" w14:textId="77777777" w:rsidR="00533573" w:rsidRPr="00F51BF1" w:rsidRDefault="00533573" w:rsidP="005E039A">
            <w:pPr>
              <w:jc w:val="center"/>
              <w:rPr>
                <w:sz w:val="20"/>
                <w:szCs w:val="20"/>
              </w:rPr>
            </w:pPr>
            <w:r w:rsidRPr="00F51BF1">
              <w:rPr>
                <w:sz w:val="20"/>
                <w:szCs w:val="20"/>
              </w:rPr>
              <w:t>0,444</w:t>
            </w:r>
            <w:r w:rsidRPr="00F51BF1">
              <w:rPr>
                <w:sz w:val="20"/>
                <w:szCs w:val="20"/>
                <w:vertAlign w:val="superscript"/>
              </w:rPr>
              <w:t>††</w:t>
            </w:r>
          </w:p>
        </w:tc>
        <w:tc>
          <w:tcPr>
            <w:tcW w:w="561" w:type="pct"/>
            <w:shd w:val="clear" w:color="auto" w:fill="EEECE1" w:themeFill="background2"/>
          </w:tcPr>
          <w:p w14:paraId="2DA0EF11" w14:textId="77777777" w:rsidR="00533573" w:rsidRPr="00F51BF1" w:rsidRDefault="00533573" w:rsidP="005E039A">
            <w:pPr>
              <w:jc w:val="center"/>
              <w:rPr>
                <w:sz w:val="20"/>
                <w:szCs w:val="20"/>
              </w:rPr>
            </w:pPr>
            <w:r w:rsidRPr="00F51BF1">
              <w:rPr>
                <w:sz w:val="20"/>
                <w:szCs w:val="20"/>
              </w:rPr>
              <w:t>0 (0,0)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12001BF2" w14:textId="77777777" w:rsidR="00533573" w:rsidRPr="00F51BF1" w:rsidRDefault="00533573" w:rsidP="005E039A">
            <w:pPr>
              <w:jc w:val="center"/>
              <w:rPr>
                <w:sz w:val="20"/>
                <w:szCs w:val="20"/>
              </w:rPr>
            </w:pPr>
            <w:r w:rsidRPr="00F51BF1">
              <w:rPr>
                <w:sz w:val="20"/>
                <w:szCs w:val="20"/>
              </w:rPr>
              <w:t>3 (11,5)</w:t>
            </w:r>
          </w:p>
        </w:tc>
        <w:tc>
          <w:tcPr>
            <w:tcW w:w="371" w:type="pct"/>
          </w:tcPr>
          <w:p w14:paraId="293CD24E" w14:textId="77777777" w:rsidR="00533573" w:rsidRPr="00F51BF1" w:rsidRDefault="00533573" w:rsidP="005E039A">
            <w:pPr>
              <w:jc w:val="center"/>
              <w:rPr>
                <w:sz w:val="20"/>
                <w:szCs w:val="20"/>
              </w:rPr>
            </w:pPr>
            <w:r w:rsidRPr="00F51BF1">
              <w:rPr>
                <w:sz w:val="20"/>
                <w:szCs w:val="20"/>
              </w:rPr>
              <w:t>0,207</w:t>
            </w:r>
            <w:r w:rsidRPr="00F51BF1">
              <w:rPr>
                <w:sz w:val="20"/>
                <w:szCs w:val="20"/>
                <w:vertAlign w:val="superscript"/>
              </w:rPr>
              <w:t>††</w:t>
            </w:r>
          </w:p>
        </w:tc>
      </w:tr>
      <w:tr w:rsidR="00533573" w:rsidRPr="00123EB1" w14:paraId="1E8984EC" w14:textId="77777777" w:rsidTr="002C0AA6">
        <w:tc>
          <w:tcPr>
            <w:tcW w:w="566" w:type="pct"/>
          </w:tcPr>
          <w:p w14:paraId="0B5BEA02" w14:textId="77777777" w:rsidR="00533573" w:rsidRPr="00C355CA" w:rsidRDefault="00533573" w:rsidP="005E039A">
            <w:pPr>
              <w:ind w:firstLine="179"/>
              <w:rPr>
                <w:sz w:val="20"/>
                <w:szCs w:val="20"/>
              </w:rPr>
            </w:pPr>
            <w:r w:rsidRPr="00C355CA">
              <w:rPr>
                <w:sz w:val="20"/>
                <w:szCs w:val="20"/>
              </w:rPr>
              <w:t>Adequado</w:t>
            </w:r>
          </w:p>
        </w:tc>
        <w:tc>
          <w:tcPr>
            <w:tcW w:w="516" w:type="pct"/>
            <w:shd w:val="clear" w:color="auto" w:fill="EEECE1" w:themeFill="background2"/>
          </w:tcPr>
          <w:p w14:paraId="602D0BCB" w14:textId="77777777" w:rsidR="00533573" w:rsidRPr="00F51BF1" w:rsidRDefault="00533573" w:rsidP="005E039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16 (84,2)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14:paraId="3B2A4602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(47,1)</w:t>
            </w:r>
          </w:p>
        </w:tc>
        <w:tc>
          <w:tcPr>
            <w:tcW w:w="371" w:type="pct"/>
          </w:tcPr>
          <w:p w14:paraId="5FCC9DB5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EEECE1" w:themeFill="background2"/>
          </w:tcPr>
          <w:p w14:paraId="47CB0092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(63,6)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51E1B662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(50,0)</w:t>
            </w:r>
          </w:p>
        </w:tc>
        <w:tc>
          <w:tcPr>
            <w:tcW w:w="371" w:type="pct"/>
          </w:tcPr>
          <w:p w14:paraId="5B1EA32B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EEECE1" w:themeFill="background2"/>
          </w:tcPr>
          <w:p w14:paraId="41669318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(80,0)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1725DDD5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(80,8)</w:t>
            </w:r>
          </w:p>
        </w:tc>
        <w:tc>
          <w:tcPr>
            <w:tcW w:w="371" w:type="pct"/>
          </w:tcPr>
          <w:p w14:paraId="22BBED40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</w:tr>
      <w:tr w:rsidR="00533573" w:rsidRPr="00123EB1" w14:paraId="2C3FE2C9" w14:textId="77777777" w:rsidTr="002C0AA6">
        <w:tc>
          <w:tcPr>
            <w:tcW w:w="566" w:type="pct"/>
          </w:tcPr>
          <w:p w14:paraId="1CBD0EF4" w14:textId="77777777" w:rsidR="00533573" w:rsidRPr="00C355CA" w:rsidRDefault="00533573" w:rsidP="005E039A">
            <w:pPr>
              <w:ind w:firstLine="179"/>
              <w:rPr>
                <w:sz w:val="20"/>
                <w:szCs w:val="20"/>
              </w:rPr>
            </w:pPr>
            <w:r w:rsidRPr="00C355CA">
              <w:rPr>
                <w:sz w:val="20"/>
                <w:szCs w:val="20"/>
              </w:rPr>
              <w:t>Pré-Obeso</w:t>
            </w:r>
          </w:p>
        </w:tc>
        <w:tc>
          <w:tcPr>
            <w:tcW w:w="516" w:type="pct"/>
            <w:shd w:val="clear" w:color="auto" w:fill="EEECE1" w:themeFill="background2"/>
          </w:tcPr>
          <w:p w14:paraId="1BF3697B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(10,5)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14:paraId="6422480E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(11,8)</w:t>
            </w:r>
          </w:p>
        </w:tc>
        <w:tc>
          <w:tcPr>
            <w:tcW w:w="371" w:type="pct"/>
          </w:tcPr>
          <w:p w14:paraId="12334005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EEECE1" w:themeFill="background2"/>
          </w:tcPr>
          <w:p w14:paraId="532BA7C1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(22,7)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4CCF69D5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(12,5)</w:t>
            </w:r>
          </w:p>
        </w:tc>
        <w:tc>
          <w:tcPr>
            <w:tcW w:w="371" w:type="pct"/>
          </w:tcPr>
          <w:p w14:paraId="4C1BFE99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EEECE1" w:themeFill="background2"/>
          </w:tcPr>
          <w:p w14:paraId="690314D6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(10,0)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36434D1B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(0,0)</w:t>
            </w:r>
          </w:p>
        </w:tc>
        <w:tc>
          <w:tcPr>
            <w:tcW w:w="371" w:type="pct"/>
          </w:tcPr>
          <w:p w14:paraId="4EF1C5D9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</w:tr>
      <w:tr w:rsidR="00533573" w:rsidRPr="00123EB1" w14:paraId="7E0E5E73" w14:textId="77777777" w:rsidTr="002C0AA6">
        <w:tc>
          <w:tcPr>
            <w:tcW w:w="566" w:type="pct"/>
          </w:tcPr>
          <w:p w14:paraId="29EC0167" w14:textId="77777777" w:rsidR="00533573" w:rsidRPr="00C355CA" w:rsidRDefault="00533573" w:rsidP="005E039A">
            <w:pPr>
              <w:ind w:firstLine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516" w:type="pct"/>
            <w:shd w:val="clear" w:color="auto" w:fill="EEECE1" w:themeFill="background2"/>
          </w:tcPr>
          <w:p w14:paraId="5DFE91BA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(0,0)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14:paraId="0A296716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(11,8)</w:t>
            </w:r>
          </w:p>
        </w:tc>
        <w:tc>
          <w:tcPr>
            <w:tcW w:w="371" w:type="pct"/>
          </w:tcPr>
          <w:p w14:paraId="71647AA6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EEECE1" w:themeFill="background2"/>
          </w:tcPr>
          <w:p w14:paraId="36C23355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(9,1)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533815A0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(12,5)</w:t>
            </w:r>
          </w:p>
        </w:tc>
        <w:tc>
          <w:tcPr>
            <w:tcW w:w="371" w:type="pct"/>
          </w:tcPr>
          <w:p w14:paraId="29A27B7C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EEECE1" w:themeFill="background2"/>
          </w:tcPr>
          <w:p w14:paraId="59680E26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(10,0)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07F3BA4D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(7,7)</w:t>
            </w:r>
          </w:p>
        </w:tc>
        <w:tc>
          <w:tcPr>
            <w:tcW w:w="371" w:type="pct"/>
          </w:tcPr>
          <w:p w14:paraId="2C3EBE11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</w:tr>
      <w:tr w:rsidR="00533573" w:rsidRPr="00123EB1" w14:paraId="12BC897A" w14:textId="77777777" w:rsidTr="002C0AA6">
        <w:tc>
          <w:tcPr>
            <w:tcW w:w="566" w:type="pct"/>
          </w:tcPr>
          <w:p w14:paraId="084A5E89" w14:textId="77777777" w:rsidR="00533573" w:rsidRPr="00C355CA" w:rsidRDefault="00533573" w:rsidP="005E039A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EEECE1" w:themeFill="background2"/>
          </w:tcPr>
          <w:p w14:paraId="281971E2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2F2F2" w:themeFill="background1" w:themeFillShade="F2"/>
          </w:tcPr>
          <w:p w14:paraId="7332A2D8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789E3E10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EEECE1" w:themeFill="background2"/>
          </w:tcPr>
          <w:p w14:paraId="69BFE6EB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2F2F2" w:themeFill="background1" w:themeFillShade="F2"/>
          </w:tcPr>
          <w:p w14:paraId="020AB000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6F0E8F51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EEECE1" w:themeFill="background2"/>
          </w:tcPr>
          <w:p w14:paraId="1C9D13C9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2F2F2" w:themeFill="background1" w:themeFillShade="F2"/>
          </w:tcPr>
          <w:p w14:paraId="510CCC14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72FDEEBC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</w:tr>
      <w:tr w:rsidR="00533573" w:rsidRPr="00123EB1" w14:paraId="65C590E3" w14:textId="77777777" w:rsidTr="002C0AA6">
        <w:tc>
          <w:tcPr>
            <w:tcW w:w="566" w:type="pct"/>
          </w:tcPr>
          <w:p w14:paraId="65F2C571" w14:textId="77777777" w:rsidR="00533573" w:rsidRPr="00C355CA" w:rsidRDefault="00533573" w:rsidP="005E039A">
            <w:pPr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Gordura corporal (%)</w:t>
            </w:r>
          </w:p>
        </w:tc>
        <w:tc>
          <w:tcPr>
            <w:tcW w:w="516" w:type="pct"/>
            <w:shd w:val="clear" w:color="auto" w:fill="EEECE1" w:themeFill="background2"/>
          </w:tcPr>
          <w:p w14:paraId="2D8D5BC4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25,06±5,59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14:paraId="23062E45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23,58±5,88</w:t>
            </w:r>
          </w:p>
        </w:tc>
        <w:tc>
          <w:tcPr>
            <w:tcW w:w="371" w:type="pct"/>
          </w:tcPr>
          <w:p w14:paraId="3F29CC28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0,684</w:t>
            </w:r>
            <w:r w:rsidRPr="00123EB1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shd w:val="clear" w:color="auto" w:fill="EEECE1" w:themeFill="background2"/>
          </w:tcPr>
          <w:p w14:paraId="4189F21F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26,52±4,74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641A7610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22,46±6,46</w:t>
            </w:r>
          </w:p>
        </w:tc>
        <w:tc>
          <w:tcPr>
            <w:tcW w:w="371" w:type="pct"/>
          </w:tcPr>
          <w:p w14:paraId="663025BE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0,277</w:t>
            </w:r>
            <w:r w:rsidRPr="00123EB1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shd w:val="clear" w:color="auto" w:fill="EEECE1" w:themeFill="background2"/>
          </w:tcPr>
          <w:p w14:paraId="6024D35F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26,61±4,15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7FCDCC2F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24,88±4,27</w:t>
            </w:r>
          </w:p>
        </w:tc>
        <w:tc>
          <w:tcPr>
            <w:tcW w:w="371" w:type="pct"/>
          </w:tcPr>
          <w:p w14:paraId="151F1DC3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0,281</w:t>
            </w:r>
            <w:r w:rsidRPr="00123EB1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533573" w:rsidRPr="00123EB1" w14:paraId="6624C762" w14:textId="77777777" w:rsidTr="002C0AA6">
        <w:tc>
          <w:tcPr>
            <w:tcW w:w="566" w:type="pct"/>
          </w:tcPr>
          <w:p w14:paraId="67544681" w14:textId="77777777" w:rsidR="00533573" w:rsidRPr="00C355CA" w:rsidRDefault="00533573" w:rsidP="005E039A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EEECE1" w:themeFill="background2"/>
          </w:tcPr>
          <w:p w14:paraId="2721AE3D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2F2F2" w:themeFill="background1" w:themeFillShade="F2"/>
          </w:tcPr>
          <w:p w14:paraId="522618CD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1A92449F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EEECE1" w:themeFill="background2"/>
          </w:tcPr>
          <w:p w14:paraId="785F3A8F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2F2F2" w:themeFill="background1" w:themeFillShade="F2"/>
          </w:tcPr>
          <w:p w14:paraId="785685FE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2A5F5FD4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EEECE1" w:themeFill="background2"/>
          </w:tcPr>
          <w:p w14:paraId="27EC19EA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2F2F2" w:themeFill="background1" w:themeFillShade="F2"/>
          </w:tcPr>
          <w:p w14:paraId="27AAEDF1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6376F869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</w:tr>
      <w:tr w:rsidR="00533573" w:rsidRPr="00123EB1" w14:paraId="0B715B55" w14:textId="77777777" w:rsidTr="002C0AA6">
        <w:tc>
          <w:tcPr>
            <w:tcW w:w="566" w:type="pct"/>
          </w:tcPr>
          <w:p w14:paraId="2C01E261" w14:textId="77777777" w:rsidR="00533573" w:rsidRPr="00C355CA" w:rsidRDefault="00533573" w:rsidP="005E039A">
            <w:pPr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Massa</w:t>
            </w:r>
          </w:p>
        </w:tc>
        <w:tc>
          <w:tcPr>
            <w:tcW w:w="516" w:type="pct"/>
            <w:shd w:val="clear" w:color="auto" w:fill="EEECE1" w:themeFill="background2"/>
          </w:tcPr>
          <w:p w14:paraId="5F566CAB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2F2F2" w:themeFill="background1" w:themeFillShade="F2"/>
          </w:tcPr>
          <w:p w14:paraId="1193B643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6AC3EF85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EEECE1" w:themeFill="background2"/>
          </w:tcPr>
          <w:p w14:paraId="79C8B095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2F2F2" w:themeFill="background1" w:themeFillShade="F2"/>
          </w:tcPr>
          <w:p w14:paraId="232B3A38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4C653402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EEECE1" w:themeFill="background2"/>
          </w:tcPr>
          <w:p w14:paraId="61891D5F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2F2F2" w:themeFill="background1" w:themeFillShade="F2"/>
          </w:tcPr>
          <w:p w14:paraId="6438ADE3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6D73B847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</w:p>
        </w:tc>
      </w:tr>
      <w:tr w:rsidR="00533573" w:rsidRPr="00123EB1" w14:paraId="4A7B96E2" w14:textId="77777777" w:rsidTr="002C0AA6">
        <w:tc>
          <w:tcPr>
            <w:tcW w:w="566" w:type="pct"/>
          </w:tcPr>
          <w:p w14:paraId="16C96FC6" w14:textId="77777777" w:rsidR="00533573" w:rsidRPr="00C355CA" w:rsidRDefault="00533573" w:rsidP="005E039A">
            <w:pPr>
              <w:ind w:firstLine="164"/>
              <w:rPr>
                <w:sz w:val="20"/>
                <w:szCs w:val="20"/>
              </w:rPr>
            </w:pPr>
            <w:r w:rsidRPr="00C355CA">
              <w:rPr>
                <w:sz w:val="20"/>
                <w:szCs w:val="20"/>
              </w:rPr>
              <w:t>Gorda (%)</w:t>
            </w:r>
          </w:p>
        </w:tc>
        <w:tc>
          <w:tcPr>
            <w:tcW w:w="516" w:type="pct"/>
            <w:shd w:val="clear" w:color="auto" w:fill="EEECE1" w:themeFill="background2"/>
          </w:tcPr>
          <w:p w14:paraId="48D1B2A1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14,24±4,33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14:paraId="2FBEB111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15,11±7,78</w:t>
            </w:r>
          </w:p>
        </w:tc>
        <w:tc>
          <w:tcPr>
            <w:tcW w:w="371" w:type="pct"/>
          </w:tcPr>
          <w:p w14:paraId="419BA634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0,802</w:t>
            </w:r>
            <w:r w:rsidRPr="00123EB1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shd w:val="clear" w:color="auto" w:fill="EEECE1" w:themeFill="background2"/>
          </w:tcPr>
          <w:p w14:paraId="0B43E83E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17,36±6,22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473153B6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15,33±7,38</w:t>
            </w:r>
          </w:p>
        </w:tc>
        <w:tc>
          <w:tcPr>
            <w:tcW w:w="371" w:type="pct"/>
          </w:tcPr>
          <w:p w14:paraId="4A654801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0,458</w:t>
            </w:r>
            <w:r w:rsidRPr="00123EB1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61" w:type="pct"/>
            <w:shd w:val="clear" w:color="auto" w:fill="EEECE1" w:themeFill="background2"/>
          </w:tcPr>
          <w:p w14:paraId="2A8834DE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16,92±5,24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4660EEB5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14,22±4,90</w:t>
            </w:r>
          </w:p>
        </w:tc>
        <w:tc>
          <w:tcPr>
            <w:tcW w:w="371" w:type="pct"/>
          </w:tcPr>
          <w:p w14:paraId="0FB2693A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0,080</w:t>
            </w:r>
            <w:r w:rsidRPr="00123EB1">
              <w:rPr>
                <w:sz w:val="20"/>
                <w:szCs w:val="20"/>
                <w:vertAlign w:val="superscript"/>
              </w:rPr>
              <w:t>‡</w:t>
            </w:r>
          </w:p>
        </w:tc>
      </w:tr>
      <w:tr w:rsidR="00533573" w:rsidRPr="00123EB1" w14:paraId="20F444F9" w14:textId="77777777" w:rsidTr="002C0AA6">
        <w:tc>
          <w:tcPr>
            <w:tcW w:w="566" w:type="pct"/>
          </w:tcPr>
          <w:p w14:paraId="02583A84" w14:textId="77777777" w:rsidR="00533573" w:rsidRPr="00C355CA" w:rsidRDefault="00533573" w:rsidP="005E039A">
            <w:pPr>
              <w:ind w:firstLine="164"/>
              <w:rPr>
                <w:sz w:val="20"/>
                <w:szCs w:val="20"/>
              </w:rPr>
            </w:pPr>
            <w:r w:rsidRPr="00C355CA">
              <w:rPr>
                <w:sz w:val="20"/>
                <w:szCs w:val="20"/>
              </w:rPr>
              <w:t>Magra (%)</w:t>
            </w:r>
          </w:p>
        </w:tc>
        <w:tc>
          <w:tcPr>
            <w:tcW w:w="516" w:type="pct"/>
            <w:shd w:val="clear" w:color="auto" w:fill="EEECE1" w:themeFill="background2"/>
          </w:tcPr>
          <w:p w14:paraId="0DC98856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41,60±3,61</w:t>
            </w:r>
          </w:p>
        </w:tc>
        <w:tc>
          <w:tcPr>
            <w:tcW w:w="560" w:type="pct"/>
            <w:shd w:val="clear" w:color="auto" w:fill="F2F2F2" w:themeFill="background1" w:themeFillShade="F2"/>
          </w:tcPr>
          <w:p w14:paraId="07800F6F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46,12±9,89</w:t>
            </w:r>
          </w:p>
        </w:tc>
        <w:tc>
          <w:tcPr>
            <w:tcW w:w="371" w:type="pct"/>
          </w:tcPr>
          <w:p w14:paraId="56DCC4AE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0,232</w:t>
            </w:r>
            <w:r w:rsidRPr="00123EB1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shd w:val="clear" w:color="auto" w:fill="EEECE1" w:themeFill="background2"/>
          </w:tcPr>
          <w:p w14:paraId="6E721941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46,41±7,56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2A3FCED9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43,67±9,65</w:t>
            </w:r>
          </w:p>
        </w:tc>
        <w:tc>
          <w:tcPr>
            <w:tcW w:w="371" w:type="pct"/>
          </w:tcPr>
          <w:p w14:paraId="6CEF1499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0,344</w:t>
            </w:r>
            <w:r w:rsidRPr="00123EB1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shd w:val="clear" w:color="auto" w:fill="EEECE1" w:themeFill="background2"/>
          </w:tcPr>
          <w:p w14:paraId="2AF63382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45,58±6,36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4222DADE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41,93±6,76</w:t>
            </w:r>
          </w:p>
        </w:tc>
        <w:tc>
          <w:tcPr>
            <w:tcW w:w="371" w:type="pct"/>
          </w:tcPr>
          <w:p w14:paraId="4E334BEB" w14:textId="77777777" w:rsidR="00533573" w:rsidRPr="00123EB1" w:rsidRDefault="00533573" w:rsidP="005E039A">
            <w:pPr>
              <w:jc w:val="center"/>
              <w:rPr>
                <w:sz w:val="20"/>
                <w:szCs w:val="20"/>
              </w:rPr>
            </w:pPr>
            <w:r w:rsidRPr="00123EB1">
              <w:rPr>
                <w:sz w:val="20"/>
                <w:szCs w:val="20"/>
              </w:rPr>
              <w:t>0,063</w:t>
            </w:r>
            <w:r w:rsidRPr="00123EB1">
              <w:rPr>
                <w:sz w:val="20"/>
                <w:szCs w:val="20"/>
                <w:vertAlign w:val="superscript"/>
              </w:rPr>
              <w:t>‡</w:t>
            </w:r>
          </w:p>
        </w:tc>
      </w:tr>
    </w:tbl>
    <w:p w14:paraId="4B86AFB7" w14:textId="77777777" w:rsidR="002C0AA6" w:rsidRDefault="002C0AA6" w:rsidP="002C0AA6">
      <w:pPr>
        <w:rPr>
          <w:sz w:val="20"/>
          <w:szCs w:val="20"/>
        </w:rPr>
      </w:pPr>
      <w:r w:rsidRPr="00C23EA0">
        <w:rPr>
          <w:sz w:val="20"/>
          <w:szCs w:val="20"/>
          <w:vertAlign w:val="superscript"/>
        </w:rPr>
        <w:t>†</w:t>
      </w:r>
      <w:r>
        <w:rPr>
          <w:sz w:val="20"/>
          <w:szCs w:val="20"/>
        </w:rPr>
        <w:t>Valores obtidos por meio da aplicação do teste t de Student.</w:t>
      </w:r>
    </w:p>
    <w:p w14:paraId="090FCEAF" w14:textId="77777777" w:rsidR="002C0AA6" w:rsidRDefault="002C0AA6" w:rsidP="002C0AA6">
      <w:pPr>
        <w:rPr>
          <w:sz w:val="20"/>
          <w:szCs w:val="20"/>
        </w:rPr>
      </w:pPr>
      <w:r w:rsidRPr="00C23EA0">
        <w:rPr>
          <w:sz w:val="20"/>
          <w:szCs w:val="20"/>
          <w:vertAlign w:val="superscript"/>
        </w:rPr>
        <w:t>‡</w:t>
      </w:r>
      <w:r>
        <w:rPr>
          <w:sz w:val="20"/>
          <w:szCs w:val="20"/>
        </w:rPr>
        <w:t>Valores obtidos por meio da aplicação do teste U de Mann-Whitney.</w:t>
      </w:r>
    </w:p>
    <w:p w14:paraId="3E78C2D3" w14:textId="77777777" w:rsidR="002C0AA6" w:rsidRDefault="002C0AA6" w:rsidP="002C0AA6">
      <w:pPr>
        <w:rPr>
          <w:sz w:val="20"/>
          <w:szCs w:val="20"/>
        </w:rPr>
      </w:pPr>
      <w:r w:rsidRPr="00C23EA0">
        <w:rPr>
          <w:sz w:val="20"/>
          <w:szCs w:val="20"/>
          <w:vertAlign w:val="superscript"/>
        </w:rPr>
        <w:t>††</w:t>
      </w:r>
      <w:r>
        <w:rPr>
          <w:sz w:val="20"/>
          <w:szCs w:val="20"/>
        </w:rPr>
        <w:t>Valores obtidos por meio da aplicação do teste Razão de verossimilhança.</w:t>
      </w:r>
    </w:p>
    <w:p w14:paraId="39D6FBC8" w14:textId="77777777" w:rsidR="002C0AA6" w:rsidRPr="00F51BF1" w:rsidRDefault="002C0AA6" w:rsidP="002C0AA6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b</w:t>
      </w:r>
      <w:r>
        <w:rPr>
          <w:sz w:val="20"/>
          <w:szCs w:val="20"/>
        </w:rPr>
        <w:t>Valor estatisticamente significativo após análise de resíduo (p&lt;0,05).</w:t>
      </w:r>
    </w:p>
    <w:p w14:paraId="07860D6A" w14:textId="77777777" w:rsidR="002C0AA6" w:rsidRDefault="002C0AA6" w:rsidP="002C0AA6">
      <w:pPr>
        <w:rPr>
          <w:sz w:val="20"/>
          <w:szCs w:val="20"/>
        </w:rPr>
      </w:pPr>
      <w:r w:rsidRPr="001002E8">
        <w:rPr>
          <w:sz w:val="20"/>
          <w:szCs w:val="20"/>
        </w:rPr>
        <w:t>Fonte: Dados da pesquisa, 2019.</w:t>
      </w:r>
    </w:p>
    <w:p w14:paraId="2F01A4D1" w14:textId="77777777" w:rsidR="00533573" w:rsidRDefault="00533573">
      <w:pPr>
        <w:rPr>
          <w:rFonts w:ascii="Arial" w:hAnsi="Arial" w:cs="Arial"/>
          <w:shd w:val="clear" w:color="auto" w:fill="FFFFFF"/>
        </w:rPr>
      </w:pPr>
    </w:p>
    <w:p w14:paraId="3CBD423F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43A34134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69094B51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249B640E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785A29B3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35FEB635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07A0E49A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426E9726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27A97748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2B51BCE8" w14:textId="77777777" w:rsidR="002C0AA6" w:rsidRDefault="002C0AA6">
      <w:pPr>
        <w:rPr>
          <w:rFonts w:ascii="Arial" w:hAnsi="Arial" w:cs="Arial"/>
          <w:shd w:val="clear" w:color="auto" w:fill="FFFFFF"/>
        </w:rPr>
      </w:pPr>
    </w:p>
    <w:p w14:paraId="79C8C926" w14:textId="74BE9387" w:rsidR="002C0AA6" w:rsidRDefault="002C0AA6">
      <w:pPr>
        <w:rPr>
          <w:rFonts w:ascii="Arial" w:hAnsi="Arial" w:cs="Arial"/>
          <w:shd w:val="clear" w:color="auto" w:fill="FFFFFF"/>
        </w:rPr>
      </w:pPr>
      <w:r w:rsidRPr="002C0AA6">
        <w:rPr>
          <w:rFonts w:ascii="Arial" w:hAnsi="Arial" w:cs="Arial"/>
          <w:shd w:val="clear" w:color="auto" w:fill="FFFFFF"/>
        </w:rPr>
        <w:t>Tabela 3.</w:t>
      </w: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54"/>
        <w:gridCol w:w="971"/>
        <w:gridCol w:w="698"/>
        <w:gridCol w:w="1055"/>
        <w:gridCol w:w="1055"/>
        <w:gridCol w:w="698"/>
        <w:gridCol w:w="1055"/>
        <w:gridCol w:w="1055"/>
        <w:gridCol w:w="698"/>
      </w:tblGrid>
      <w:tr w:rsidR="002C0AA6" w:rsidRPr="0076260A" w14:paraId="40E043A8" w14:textId="77777777" w:rsidTr="002C0AA6">
        <w:tc>
          <w:tcPr>
            <w:tcW w:w="566" w:type="pct"/>
            <w:tcBorders>
              <w:top w:val="single" w:sz="4" w:space="0" w:color="auto"/>
            </w:tcBorders>
          </w:tcPr>
          <w:p w14:paraId="64119108" w14:textId="77777777" w:rsidR="002C0AA6" w:rsidRPr="0076260A" w:rsidRDefault="002C0AA6" w:rsidP="005E039A">
            <w:pPr>
              <w:rPr>
                <w:sz w:val="20"/>
                <w:szCs w:val="20"/>
              </w:rPr>
            </w:pPr>
          </w:p>
        </w:tc>
        <w:tc>
          <w:tcPr>
            <w:tcW w:w="4434" w:type="pct"/>
            <w:gridSpan w:val="9"/>
            <w:tcBorders>
              <w:top w:val="single" w:sz="4" w:space="0" w:color="auto"/>
            </w:tcBorders>
          </w:tcPr>
          <w:p w14:paraId="10F5CDAE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Média ± Desvio Padrão, n (%)</w:t>
            </w:r>
          </w:p>
        </w:tc>
      </w:tr>
      <w:tr w:rsidR="002C0AA6" w:rsidRPr="0076260A" w14:paraId="6F50B4F8" w14:textId="77777777" w:rsidTr="002C0AA6">
        <w:tc>
          <w:tcPr>
            <w:tcW w:w="566" w:type="pct"/>
            <w:vMerge w:val="restart"/>
            <w:vAlign w:val="center"/>
          </w:tcPr>
          <w:p w14:paraId="76906DC1" w14:textId="77777777" w:rsidR="002C0AA6" w:rsidRPr="0076260A" w:rsidRDefault="002C0AA6" w:rsidP="005E039A">
            <w:pPr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Masculino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CF6A45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1º Ano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vAlign w:val="center"/>
          </w:tcPr>
          <w:p w14:paraId="392C94EF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Valor-p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5A73AE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2º Ano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vAlign w:val="center"/>
          </w:tcPr>
          <w:p w14:paraId="6F14D8C3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Valor-p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CCA91A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3º Ano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vAlign w:val="center"/>
          </w:tcPr>
          <w:p w14:paraId="7F801273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Valor-p</w:t>
            </w:r>
          </w:p>
        </w:tc>
      </w:tr>
      <w:tr w:rsidR="002C0AA6" w:rsidRPr="0076260A" w14:paraId="04FBF37E" w14:textId="77777777" w:rsidTr="002C0AA6">
        <w:tc>
          <w:tcPr>
            <w:tcW w:w="566" w:type="pct"/>
            <w:vMerge/>
          </w:tcPr>
          <w:p w14:paraId="063B7D37" w14:textId="77777777" w:rsidR="002C0AA6" w:rsidRPr="0076260A" w:rsidRDefault="002C0AA6" w:rsidP="005E039A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EEECE1" w:themeFill="background2"/>
          </w:tcPr>
          <w:p w14:paraId="333F68D8" w14:textId="77777777" w:rsidR="002C0AA6" w:rsidRPr="00C355CA" w:rsidRDefault="002C0AA6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Integral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A5F359" w14:textId="77777777" w:rsidR="002C0AA6" w:rsidRPr="00C355CA" w:rsidRDefault="002C0AA6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371" w:type="pct"/>
            <w:vMerge/>
          </w:tcPr>
          <w:p w14:paraId="53755EBE" w14:textId="77777777" w:rsidR="002C0AA6" w:rsidRPr="00C355CA" w:rsidRDefault="002C0AA6" w:rsidP="005E03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EEECE1" w:themeFill="background2"/>
          </w:tcPr>
          <w:p w14:paraId="58C08ED1" w14:textId="77777777" w:rsidR="002C0AA6" w:rsidRPr="00C355CA" w:rsidRDefault="002C0AA6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Integral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33C210" w14:textId="77777777" w:rsidR="002C0AA6" w:rsidRPr="00C355CA" w:rsidRDefault="002C0AA6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371" w:type="pct"/>
            <w:vMerge/>
          </w:tcPr>
          <w:p w14:paraId="52A8CD5B" w14:textId="77777777" w:rsidR="002C0AA6" w:rsidRPr="00C355CA" w:rsidRDefault="002C0AA6" w:rsidP="005E03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EEECE1" w:themeFill="background2"/>
          </w:tcPr>
          <w:p w14:paraId="30DB0B7A" w14:textId="77777777" w:rsidR="002C0AA6" w:rsidRPr="00C355CA" w:rsidRDefault="002C0AA6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Integral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5424FB" w14:textId="77777777" w:rsidR="002C0AA6" w:rsidRPr="00C355CA" w:rsidRDefault="002C0AA6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371" w:type="pct"/>
            <w:vMerge/>
          </w:tcPr>
          <w:p w14:paraId="5D1B8CF8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</w:tr>
      <w:tr w:rsidR="002C0AA6" w:rsidRPr="0076260A" w14:paraId="479525B4" w14:textId="77777777" w:rsidTr="002C0AA6">
        <w:tc>
          <w:tcPr>
            <w:tcW w:w="566" w:type="pct"/>
            <w:tcBorders>
              <w:bottom w:val="single" w:sz="4" w:space="0" w:color="auto"/>
            </w:tcBorders>
          </w:tcPr>
          <w:p w14:paraId="50B8E3BE" w14:textId="77777777" w:rsidR="002C0AA6" w:rsidRPr="0076260A" w:rsidRDefault="002C0AA6" w:rsidP="005E039A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EEECE1" w:themeFill="background2"/>
          </w:tcPr>
          <w:p w14:paraId="6005C7FD" w14:textId="77777777" w:rsidR="002C0AA6" w:rsidRPr="00C355CA" w:rsidRDefault="002C0AA6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n = 19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D61830" w14:textId="77777777" w:rsidR="002C0AA6" w:rsidRPr="00C355CA" w:rsidRDefault="002C0AA6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n = 12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14:paraId="286ADD21" w14:textId="77777777" w:rsidR="002C0AA6" w:rsidRPr="00C355CA" w:rsidRDefault="002C0AA6" w:rsidP="005E03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EEECE1" w:themeFill="background2"/>
          </w:tcPr>
          <w:p w14:paraId="26B1FFD9" w14:textId="77777777" w:rsidR="002C0AA6" w:rsidRPr="00C355CA" w:rsidRDefault="002C0AA6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n = 13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B0FEE7" w14:textId="77777777" w:rsidR="002C0AA6" w:rsidRPr="00C355CA" w:rsidRDefault="002C0AA6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n = 13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14:paraId="422F99F1" w14:textId="77777777" w:rsidR="002C0AA6" w:rsidRPr="00C355CA" w:rsidRDefault="002C0AA6" w:rsidP="005E03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EEECE1" w:themeFill="background2"/>
          </w:tcPr>
          <w:p w14:paraId="37318AF8" w14:textId="77777777" w:rsidR="002C0AA6" w:rsidRPr="00C355CA" w:rsidRDefault="002C0AA6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n = 11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AD0C76" w14:textId="77777777" w:rsidR="002C0AA6" w:rsidRPr="00C355CA" w:rsidRDefault="002C0AA6" w:rsidP="005E039A">
            <w:pPr>
              <w:jc w:val="center"/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n = 24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14:paraId="43C3BF78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</w:tr>
      <w:tr w:rsidR="002C0AA6" w:rsidRPr="0076260A" w14:paraId="59B30AFC" w14:textId="77777777" w:rsidTr="002C0AA6">
        <w:tc>
          <w:tcPr>
            <w:tcW w:w="566" w:type="pct"/>
            <w:tcBorders>
              <w:top w:val="single" w:sz="4" w:space="0" w:color="auto"/>
              <w:right w:val="nil"/>
            </w:tcBorders>
          </w:tcPr>
          <w:p w14:paraId="3FD44355" w14:textId="77777777" w:rsidR="002C0AA6" w:rsidRPr="00C355CA" w:rsidRDefault="002C0AA6" w:rsidP="005E039A">
            <w:pPr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Peso (kg)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4D27DEA8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64,21±10,59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95B783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62,50±8,30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DE652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0,795</w:t>
            </w:r>
            <w:r w:rsidRPr="0076260A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169A771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67,15±14,23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4950BF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73,69±16,14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BA028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0,186</w:t>
            </w:r>
            <w:r w:rsidRPr="0076260A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232BEBA2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70,64±17,36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FB7C2B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71,67±16,24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</w:tcBorders>
          </w:tcPr>
          <w:p w14:paraId="58D7610D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0,866</w:t>
            </w:r>
            <w:r w:rsidRPr="0076260A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2C0AA6" w:rsidRPr="0076260A" w14:paraId="7A0C8E0F" w14:textId="77777777" w:rsidTr="002C0AA6">
        <w:tc>
          <w:tcPr>
            <w:tcW w:w="566" w:type="pct"/>
            <w:tcBorders>
              <w:right w:val="nil"/>
            </w:tcBorders>
          </w:tcPr>
          <w:p w14:paraId="44B94887" w14:textId="77777777" w:rsidR="002C0AA6" w:rsidRPr="00C355CA" w:rsidRDefault="002C0AA6" w:rsidP="005E039A">
            <w:pPr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Altura (m)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13203ADD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1,72±0,06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7EDF44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1,74±0,06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5C480945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0,287</w:t>
            </w:r>
            <w:r w:rsidRPr="0076260A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5298868A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1,75±0,05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6E3A3E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1,75±0,08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5FBD3BC1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0,930</w:t>
            </w:r>
            <w:r w:rsidRPr="0076260A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9AA5624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1,76±0,06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B7AD06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1,76±0,07</w:t>
            </w:r>
          </w:p>
        </w:tc>
        <w:tc>
          <w:tcPr>
            <w:tcW w:w="371" w:type="pct"/>
            <w:tcBorders>
              <w:left w:val="nil"/>
            </w:tcBorders>
          </w:tcPr>
          <w:p w14:paraId="1F758218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0,967</w:t>
            </w:r>
            <w:r w:rsidRPr="0076260A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2C0AA6" w:rsidRPr="0076260A" w14:paraId="3E5D355E" w14:textId="77777777" w:rsidTr="002C0AA6">
        <w:tc>
          <w:tcPr>
            <w:tcW w:w="566" w:type="pct"/>
            <w:tcBorders>
              <w:right w:val="nil"/>
            </w:tcBorders>
          </w:tcPr>
          <w:p w14:paraId="4EB2D042" w14:textId="77777777" w:rsidR="002C0AA6" w:rsidRPr="00C355CA" w:rsidRDefault="002C0AA6" w:rsidP="005E039A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3CEC42BA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C8AFBD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040ABB28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2ABAAAAD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326AB7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6734CD56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6FB65ACB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C615EE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nil"/>
            </w:tcBorders>
          </w:tcPr>
          <w:p w14:paraId="674432C9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</w:tr>
      <w:tr w:rsidR="002C0AA6" w:rsidRPr="0076260A" w14:paraId="1918B4E7" w14:textId="77777777" w:rsidTr="002C0AA6">
        <w:tc>
          <w:tcPr>
            <w:tcW w:w="566" w:type="pct"/>
            <w:tcBorders>
              <w:right w:val="nil"/>
            </w:tcBorders>
          </w:tcPr>
          <w:p w14:paraId="18D523A7" w14:textId="77777777" w:rsidR="002C0AA6" w:rsidRPr="00C355CA" w:rsidRDefault="002C0AA6" w:rsidP="005E039A">
            <w:pPr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Dobra cutânea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43C5829A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302BFC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52141473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67615891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8F95E2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4B75C575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02508DA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D14387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nil"/>
            </w:tcBorders>
          </w:tcPr>
          <w:p w14:paraId="22184B97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</w:tr>
      <w:tr w:rsidR="002C0AA6" w:rsidRPr="0076260A" w14:paraId="3C9A6BC6" w14:textId="77777777" w:rsidTr="002C0AA6">
        <w:tc>
          <w:tcPr>
            <w:tcW w:w="566" w:type="pct"/>
            <w:tcBorders>
              <w:right w:val="nil"/>
            </w:tcBorders>
          </w:tcPr>
          <w:p w14:paraId="63E0BB9C" w14:textId="77777777" w:rsidR="002C0AA6" w:rsidRPr="00C355CA" w:rsidRDefault="002C0AA6" w:rsidP="005E039A">
            <w:pPr>
              <w:ind w:firstLine="164"/>
              <w:rPr>
                <w:sz w:val="20"/>
                <w:szCs w:val="20"/>
              </w:rPr>
            </w:pPr>
            <w:r w:rsidRPr="00C355CA">
              <w:rPr>
                <w:sz w:val="20"/>
                <w:szCs w:val="20"/>
              </w:rPr>
              <w:t>Tricipital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3F8A4AA1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10,0±4,12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5DDF1A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9,75±4,43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2744AF67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0,874</w:t>
            </w:r>
            <w:r w:rsidRPr="0076260A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1109DCC9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9,31±5,69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67C0BE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10,00±3,16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215A1BEE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0,223</w:t>
            </w:r>
            <w:r w:rsidRPr="0076260A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18EE4A50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10,45±5,01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A5922B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11,00±4,82</w:t>
            </w:r>
          </w:p>
        </w:tc>
        <w:tc>
          <w:tcPr>
            <w:tcW w:w="371" w:type="pct"/>
            <w:tcBorders>
              <w:left w:val="nil"/>
            </w:tcBorders>
          </w:tcPr>
          <w:p w14:paraId="52E52A73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0,761</w:t>
            </w:r>
            <w:r w:rsidRPr="0076260A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2C0AA6" w:rsidRPr="0076260A" w14:paraId="0580E968" w14:textId="77777777" w:rsidTr="002C0AA6">
        <w:tc>
          <w:tcPr>
            <w:tcW w:w="566" w:type="pct"/>
            <w:tcBorders>
              <w:right w:val="nil"/>
            </w:tcBorders>
          </w:tcPr>
          <w:p w14:paraId="0B255749" w14:textId="77777777" w:rsidR="002C0AA6" w:rsidRPr="00C355CA" w:rsidRDefault="002C0AA6" w:rsidP="005E039A">
            <w:pPr>
              <w:ind w:firstLine="164"/>
              <w:rPr>
                <w:sz w:val="20"/>
                <w:szCs w:val="20"/>
              </w:rPr>
            </w:pPr>
            <w:r w:rsidRPr="00C355CA">
              <w:rPr>
                <w:sz w:val="20"/>
                <w:szCs w:val="20"/>
              </w:rPr>
              <w:t>Escapular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32924285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9,79±3,39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0EA83B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9,83±2,72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3D58B6F3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0,675</w:t>
            </w:r>
            <w:r w:rsidRPr="0076260A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F6F681D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10,08±5,12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F9E039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12,15±4,43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701BD3AE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0,125</w:t>
            </w:r>
            <w:r w:rsidRPr="0076260A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694A668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12,27±6,66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C0C8B6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13,17±5,89</w:t>
            </w:r>
          </w:p>
        </w:tc>
        <w:tc>
          <w:tcPr>
            <w:tcW w:w="371" w:type="pct"/>
            <w:tcBorders>
              <w:left w:val="nil"/>
            </w:tcBorders>
          </w:tcPr>
          <w:p w14:paraId="61E0BB5E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0,587</w:t>
            </w:r>
            <w:r w:rsidRPr="0076260A">
              <w:rPr>
                <w:sz w:val="20"/>
                <w:szCs w:val="20"/>
                <w:vertAlign w:val="superscript"/>
              </w:rPr>
              <w:t>‡</w:t>
            </w:r>
          </w:p>
        </w:tc>
      </w:tr>
      <w:tr w:rsidR="002C0AA6" w:rsidRPr="0076260A" w14:paraId="5EFF98F0" w14:textId="77777777" w:rsidTr="002C0AA6">
        <w:tc>
          <w:tcPr>
            <w:tcW w:w="566" w:type="pct"/>
            <w:tcBorders>
              <w:right w:val="nil"/>
            </w:tcBorders>
          </w:tcPr>
          <w:p w14:paraId="3D86EF9B" w14:textId="77777777" w:rsidR="002C0AA6" w:rsidRPr="00C355CA" w:rsidRDefault="002C0AA6" w:rsidP="005E039A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CA2E951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DDCABB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27B7169E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35EB6518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921E51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5AA1BFAC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A4316CF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CEB733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nil"/>
            </w:tcBorders>
          </w:tcPr>
          <w:p w14:paraId="7756FB9C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</w:tr>
      <w:tr w:rsidR="002C0AA6" w:rsidRPr="0076260A" w14:paraId="3104B6E6" w14:textId="77777777" w:rsidTr="002C0AA6">
        <w:tc>
          <w:tcPr>
            <w:tcW w:w="566" w:type="pct"/>
            <w:tcBorders>
              <w:right w:val="nil"/>
            </w:tcBorders>
          </w:tcPr>
          <w:p w14:paraId="0E9B2667" w14:textId="77777777" w:rsidR="002C0AA6" w:rsidRPr="00C355CA" w:rsidRDefault="002C0AA6" w:rsidP="005E039A">
            <w:pPr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IMC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11CF084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21,66±3,56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43F382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20,52±2,00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0FE1B04D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0,322</w:t>
            </w:r>
            <w:r w:rsidRPr="0076260A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60352701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21,86±4,18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263192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23,82±3,92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3E489092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0,223</w:t>
            </w:r>
            <w:r w:rsidRPr="0076260A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0DF057D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22,82±5,10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E234BA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23,11±4,37</w:t>
            </w:r>
          </w:p>
        </w:tc>
        <w:tc>
          <w:tcPr>
            <w:tcW w:w="371" w:type="pct"/>
            <w:tcBorders>
              <w:left w:val="nil"/>
            </w:tcBorders>
          </w:tcPr>
          <w:p w14:paraId="2F0D6C69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0,865</w:t>
            </w:r>
            <w:r w:rsidRPr="0076260A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2C0AA6" w:rsidRPr="0076260A" w14:paraId="0F8522EA" w14:textId="77777777" w:rsidTr="002C0AA6">
        <w:tc>
          <w:tcPr>
            <w:tcW w:w="566" w:type="pct"/>
            <w:tcBorders>
              <w:right w:val="nil"/>
            </w:tcBorders>
          </w:tcPr>
          <w:p w14:paraId="1CE960F9" w14:textId="77777777" w:rsidR="002C0AA6" w:rsidRPr="00C355CA" w:rsidRDefault="002C0AA6" w:rsidP="005E039A">
            <w:pPr>
              <w:ind w:firstLine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Abaixo do peso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4039F042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(21,1)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C2F43A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(16,7)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17200195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F51BF1">
              <w:rPr>
                <w:sz w:val="20"/>
                <w:szCs w:val="20"/>
              </w:rPr>
              <w:t>0,180</w:t>
            </w:r>
            <w:r w:rsidRPr="00F51BF1">
              <w:rPr>
                <w:sz w:val="20"/>
                <w:szCs w:val="20"/>
                <w:vertAlign w:val="superscript"/>
              </w:rPr>
              <w:t>††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41E9608F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(15,4)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2A26F7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(7,7)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3925A37A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F51BF1">
              <w:rPr>
                <w:sz w:val="20"/>
                <w:szCs w:val="20"/>
              </w:rPr>
              <w:t>0,695</w:t>
            </w:r>
            <w:r w:rsidRPr="00F51BF1">
              <w:rPr>
                <w:sz w:val="20"/>
                <w:szCs w:val="20"/>
                <w:vertAlign w:val="superscript"/>
              </w:rPr>
              <w:t>††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3FD5FAD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(18,2)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4C6050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(12,5)</w:t>
            </w:r>
          </w:p>
        </w:tc>
        <w:tc>
          <w:tcPr>
            <w:tcW w:w="371" w:type="pct"/>
            <w:tcBorders>
              <w:left w:val="nil"/>
            </w:tcBorders>
          </w:tcPr>
          <w:p w14:paraId="3F17CFA1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F51BF1">
              <w:rPr>
                <w:sz w:val="20"/>
                <w:szCs w:val="20"/>
              </w:rPr>
              <w:t>0,879</w:t>
            </w:r>
            <w:r w:rsidRPr="00F51BF1">
              <w:rPr>
                <w:sz w:val="20"/>
                <w:szCs w:val="20"/>
                <w:vertAlign w:val="superscript"/>
              </w:rPr>
              <w:t>††</w:t>
            </w:r>
          </w:p>
        </w:tc>
      </w:tr>
      <w:tr w:rsidR="002C0AA6" w:rsidRPr="0076260A" w14:paraId="60A6AE49" w14:textId="77777777" w:rsidTr="002C0AA6">
        <w:tc>
          <w:tcPr>
            <w:tcW w:w="566" w:type="pct"/>
            <w:tcBorders>
              <w:right w:val="nil"/>
            </w:tcBorders>
          </w:tcPr>
          <w:p w14:paraId="0199332B" w14:textId="77777777" w:rsidR="002C0AA6" w:rsidRPr="00C355CA" w:rsidRDefault="002C0AA6" w:rsidP="005E039A">
            <w:pPr>
              <w:ind w:firstLine="179"/>
              <w:rPr>
                <w:sz w:val="20"/>
                <w:szCs w:val="20"/>
              </w:rPr>
            </w:pPr>
            <w:r w:rsidRPr="00C355CA">
              <w:rPr>
                <w:sz w:val="20"/>
                <w:szCs w:val="20"/>
              </w:rPr>
              <w:t>Adequado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6D4CA906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(63,2)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FD320F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(83,3)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7C763799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5E3FD3BA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(69,2)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AA7D2E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(61,5)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14913C29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22BD9A55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(54,5)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D67383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(58,3)</w:t>
            </w:r>
          </w:p>
        </w:tc>
        <w:tc>
          <w:tcPr>
            <w:tcW w:w="371" w:type="pct"/>
            <w:tcBorders>
              <w:left w:val="nil"/>
            </w:tcBorders>
          </w:tcPr>
          <w:p w14:paraId="641A511D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</w:tr>
      <w:tr w:rsidR="002C0AA6" w:rsidRPr="0076260A" w14:paraId="2FB642A4" w14:textId="77777777" w:rsidTr="002C0AA6">
        <w:tc>
          <w:tcPr>
            <w:tcW w:w="566" w:type="pct"/>
            <w:tcBorders>
              <w:right w:val="nil"/>
            </w:tcBorders>
          </w:tcPr>
          <w:p w14:paraId="7578FDCF" w14:textId="77777777" w:rsidR="002C0AA6" w:rsidRPr="00C355CA" w:rsidRDefault="002C0AA6" w:rsidP="005E039A">
            <w:pPr>
              <w:ind w:firstLine="179"/>
              <w:rPr>
                <w:sz w:val="20"/>
                <w:szCs w:val="20"/>
              </w:rPr>
            </w:pPr>
            <w:r w:rsidRPr="00C355CA">
              <w:rPr>
                <w:sz w:val="20"/>
                <w:szCs w:val="20"/>
              </w:rPr>
              <w:t>Pré-Obeso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3DADDF7E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(15,8)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63B0D3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(0,0)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55837681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2F660343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(7,7)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97F75B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(23,1)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1BF94BFB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45E4A1A4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(9,1)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19F907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(16,7)</w:t>
            </w:r>
          </w:p>
        </w:tc>
        <w:tc>
          <w:tcPr>
            <w:tcW w:w="371" w:type="pct"/>
            <w:tcBorders>
              <w:left w:val="nil"/>
            </w:tcBorders>
          </w:tcPr>
          <w:p w14:paraId="52736353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</w:tr>
      <w:tr w:rsidR="002C0AA6" w:rsidRPr="0076260A" w14:paraId="7F9B74B5" w14:textId="77777777" w:rsidTr="002C0AA6">
        <w:tc>
          <w:tcPr>
            <w:tcW w:w="566" w:type="pct"/>
            <w:tcBorders>
              <w:right w:val="nil"/>
            </w:tcBorders>
          </w:tcPr>
          <w:p w14:paraId="7E275F19" w14:textId="77777777" w:rsidR="002C0AA6" w:rsidRPr="00C355CA" w:rsidRDefault="002C0AA6" w:rsidP="005E039A">
            <w:pPr>
              <w:ind w:firstLine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477833E6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(0,0)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6BD518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(0,0)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68DAF20D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3284D1FD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(7,7)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7894A7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(7,7)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28EB97EC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12FF69F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(18,2)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153350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(12,5)</w:t>
            </w:r>
          </w:p>
        </w:tc>
        <w:tc>
          <w:tcPr>
            <w:tcW w:w="371" w:type="pct"/>
            <w:tcBorders>
              <w:left w:val="nil"/>
            </w:tcBorders>
          </w:tcPr>
          <w:p w14:paraId="405E6026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</w:tr>
      <w:tr w:rsidR="002C0AA6" w:rsidRPr="0076260A" w14:paraId="7F43FE46" w14:textId="77777777" w:rsidTr="002C0AA6">
        <w:tc>
          <w:tcPr>
            <w:tcW w:w="566" w:type="pct"/>
            <w:tcBorders>
              <w:right w:val="nil"/>
            </w:tcBorders>
          </w:tcPr>
          <w:p w14:paraId="09D93AF8" w14:textId="77777777" w:rsidR="002C0AA6" w:rsidRPr="00C355CA" w:rsidRDefault="002C0AA6" w:rsidP="005E039A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6DB7EF44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63063A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25F2C919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6E197861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2C1932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50CF8C06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453B9B7F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C91E65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nil"/>
            </w:tcBorders>
          </w:tcPr>
          <w:p w14:paraId="309FD891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</w:tr>
      <w:tr w:rsidR="002C0AA6" w:rsidRPr="0076260A" w14:paraId="29E6C5E7" w14:textId="77777777" w:rsidTr="002C0AA6">
        <w:tc>
          <w:tcPr>
            <w:tcW w:w="566" w:type="pct"/>
            <w:tcBorders>
              <w:right w:val="nil"/>
            </w:tcBorders>
          </w:tcPr>
          <w:p w14:paraId="6E7ECE32" w14:textId="77777777" w:rsidR="002C0AA6" w:rsidRPr="00C355CA" w:rsidRDefault="002C0AA6" w:rsidP="005E039A">
            <w:pPr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Gordura corporal (%)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11B93D4B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17,03±6,12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7113BB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16,96±6,09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2F0EAA3A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0,976</w:t>
            </w:r>
            <w:r w:rsidRPr="0076260A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60A53CDF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16,22±7,84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1D33FE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19,15±5,82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01607038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0,113</w:t>
            </w:r>
            <w:r w:rsidRPr="0076260A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6BBDB8C2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19,04±8,50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65CEF4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20,28±7,70</w:t>
            </w:r>
          </w:p>
        </w:tc>
        <w:tc>
          <w:tcPr>
            <w:tcW w:w="371" w:type="pct"/>
            <w:tcBorders>
              <w:left w:val="nil"/>
            </w:tcBorders>
          </w:tcPr>
          <w:p w14:paraId="24C16259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0,674</w:t>
            </w:r>
            <w:r w:rsidRPr="0076260A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2C0AA6" w:rsidRPr="0076260A" w14:paraId="28ED0524" w14:textId="77777777" w:rsidTr="002C0AA6">
        <w:tc>
          <w:tcPr>
            <w:tcW w:w="566" w:type="pct"/>
            <w:tcBorders>
              <w:right w:val="nil"/>
            </w:tcBorders>
          </w:tcPr>
          <w:p w14:paraId="1542F308" w14:textId="77777777" w:rsidR="002C0AA6" w:rsidRPr="00C355CA" w:rsidRDefault="002C0AA6" w:rsidP="005E039A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447231A7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E7B2E6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32C71C97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1BA08A39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E37D7A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4A51AA2E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39FA801A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1133AB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nil"/>
            </w:tcBorders>
          </w:tcPr>
          <w:p w14:paraId="60F8193C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</w:tr>
      <w:tr w:rsidR="002C0AA6" w:rsidRPr="0076260A" w14:paraId="08CB81DD" w14:textId="77777777" w:rsidTr="002C0AA6">
        <w:tc>
          <w:tcPr>
            <w:tcW w:w="566" w:type="pct"/>
            <w:tcBorders>
              <w:right w:val="nil"/>
            </w:tcBorders>
          </w:tcPr>
          <w:p w14:paraId="27EAF099" w14:textId="77777777" w:rsidR="002C0AA6" w:rsidRPr="00C355CA" w:rsidRDefault="002C0AA6" w:rsidP="005E039A">
            <w:pPr>
              <w:rPr>
                <w:b/>
                <w:sz w:val="20"/>
                <w:szCs w:val="20"/>
              </w:rPr>
            </w:pPr>
            <w:r w:rsidRPr="00C355CA">
              <w:rPr>
                <w:b/>
                <w:sz w:val="20"/>
                <w:szCs w:val="20"/>
              </w:rPr>
              <w:t>Massa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B1CF219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80A517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024A2E83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72E7122E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B17091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23382CD7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3D1CF67E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291711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nil"/>
            </w:tcBorders>
          </w:tcPr>
          <w:p w14:paraId="1266B21B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</w:p>
        </w:tc>
      </w:tr>
      <w:tr w:rsidR="002C0AA6" w:rsidRPr="0076260A" w14:paraId="718D755B" w14:textId="77777777" w:rsidTr="002C0AA6">
        <w:tc>
          <w:tcPr>
            <w:tcW w:w="566" w:type="pct"/>
            <w:tcBorders>
              <w:right w:val="nil"/>
            </w:tcBorders>
          </w:tcPr>
          <w:p w14:paraId="0241BCC7" w14:textId="77777777" w:rsidR="002C0AA6" w:rsidRPr="00C355CA" w:rsidRDefault="002C0AA6" w:rsidP="005E039A">
            <w:pPr>
              <w:ind w:firstLine="164"/>
              <w:rPr>
                <w:sz w:val="20"/>
                <w:szCs w:val="20"/>
              </w:rPr>
            </w:pPr>
            <w:r w:rsidRPr="00C355CA">
              <w:rPr>
                <w:sz w:val="20"/>
                <w:szCs w:val="20"/>
              </w:rPr>
              <w:t>Gorda (%)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2EF3C854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11,38±5,76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591489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10,64±4,07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4975AA54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0,921</w:t>
            </w:r>
            <w:r w:rsidRPr="0076260A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42143B32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11,80±9,47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2FCF79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14,89±7,78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4E37146C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0,153</w:t>
            </w:r>
            <w:r w:rsidRPr="0076260A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3217474E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14,62±10,30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174D88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15,45±9,02</w:t>
            </w:r>
          </w:p>
        </w:tc>
        <w:tc>
          <w:tcPr>
            <w:tcW w:w="371" w:type="pct"/>
            <w:tcBorders>
              <w:left w:val="nil"/>
            </w:tcBorders>
          </w:tcPr>
          <w:p w14:paraId="13063E37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0,713</w:t>
            </w:r>
            <w:r w:rsidRPr="0076260A">
              <w:rPr>
                <w:sz w:val="20"/>
                <w:szCs w:val="20"/>
                <w:vertAlign w:val="superscript"/>
              </w:rPr>
              <w:t>‡</w:t>
            </w:r>
          </w:p>
        </w:tc>
      </w:tr>
      <w:tr w:rsidR="002C0AA6" w:rsidRPr="0076260A" w14:paraId="5E292A54" w14:textId="77777777" w:rsidTr="002C0AA6">
        <w:tc>
          <w:tcPr>
            <w:tcW w:w="566" w:type="pct"/>
            <w:tcBorders>
              <w:bottom w:val="single" w:sz="4" w:space="0" w:color="auto"/>
              <w:right w:val="nil"/>
            </w:tcBorders>
          </w:tcPr>
          <w:p w14:paraId="5ADC18CC" w14:textId="77777777" w:rsidR="002C0AA6" w:rsidRPr="00C355CA" w:rsidRDefault="002C0AA6" w:rsidP="005E039A">
            <w:pPr>
              <w:ind w:firstLine="164"/>
              <w:rPr>
                <w:sz w:val="20"/>
                <w:szCs w:val="20"/>
              </w:rPr>
            </w:pPr>
            <w:r w:rsidRPr="00C355CA">
              <w:rPr>
                <w:sz w:val="20"/>
                <w:szCs w:val="20"/>
              </w:rPr>
              <w:t>Magra (%)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48B023F3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52,83±6,04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5FF2F3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51,86±7,21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82DAC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0,689</w:t>
            </w:r>
            <w:r w:rsidRPr="0076260A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2FCC758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55,35±5,86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786D16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58,80±8,67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DB0F9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0,311</w:t>
            </w:r>
            <w:r w:rsidRPr="0076260A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337AFAFA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56,02±8,32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FB1D58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56,22±8,77</w:t>
            </w:r>
          </w:p>
        </w:tc>
        <w:tc>
          <w:tcPr>
            <w:tcW w:w="371" w:type="pct"/>
            <w:tcBorders>
              <w:left w:val="nil"/>
              <w:bottom w:val="single" w:sz="4" w:space="0" w:color="auto"/>
            </w:tcBorders>
          </w:tcPr>
          <w:p w14:paraId="2FA16840" w14:textId="77777777" w:rsidR="002C0AA6" w:rsidRPr="0076260A" w:rsidRDefault="002C0AA6" w:rsidP="005E039A">
            <w:pPr>
              <w:jc w:val="center"/>
              <w:rPr>
                <w:sz w:val="20"/>
                <w:szCs w:val="20"/>
              </w:rPr>
            </w:pPr>
            <w:r w:rsidRPr="0076260A">
              <w:rPr>
                <w:sz w:val="20"/>
                <w:szCs w:val="20"/>
              </w:rPr>
              <w:t>0,951</w:t>
            </w:r>
            <w:r w:rsidRPr="0076260A">
              <w:rPr>
                <w:sz w:val="20"/>
                <w:szCs w:val="20"/>
                <w:vertAlign w:val="superscript"/>
              </w:rPr>
              <w:t>†</w:t>
            </w:r>
          </w:p>
        </w:tc>
      </w:tr>
    </w:tbl>
    <w:p w14:paraId="39479281" w14:textId="77777777" w:rsidR="002C0AA6" w:rsidRPr="0076260A" w:rsidRDefault="002C0AA6" w:rsidP="002C0AA6">
      <w:pPr>
        <w:rPr>
          <w:sz w:val="20"/>
          <w:szCs w:val="20"/>
        </w:rPr>
      </w:pPr>
      <w:r w:rsidRPr="0076260A">
        <w:rPr>
          <w:sz w:val="20"/>
          <w:szCs w:val="20"/>
          <w:vertAlign w:val="superscript"/>
        </w:rPr>
        <w:t>†</w:t>
      </w:r>
      <w:r w:rsidRPr="0076260A">
        <w:rPr>
          <w:sz w:val="20"/>
          <w:szCs w:val="20"/>
        </w:rPr>
        <w:t>Valores obtidos por meio da aplicação do teste t de Student.</w:t>
      </w:r>
    </w:p>
    <w:p w14:paraId="09CC37A8" w14:textId="77777777" w:rsidR="002C0AA6" w:rsidRDefault="002C0AA6" w:rsidP="002C0AA6">
      <w:pPr>
        <w:rPr>
          <w:sz w:val="20"/>
          <w:szCs w:val="20"/>
        </w:rPr>
      </w:pPr>
      <w:r w:rsidRPr="0076260A">
        <w:rPr>
          <w:sz w:val="20"/>
          <w:szCs w:val="20"/>
          <w:vertAlign w:val="superscript"/>
        </w:rPr>
        <w:t>‡</w:t>
      </w:r>
      <w:r w:rsidRPr="0076260A">
        <w:rPr>
          <w:sz w:val="20"/>
          <w:szCs w:val="20"/>
        </w:rPr>
        <w:t>Valores obtidos por meio da aplicação do teste U de Mann-Whitney.</w:t>
      </w:r>
    </w:p>
    <w:p w14:paraId="7A7FE4DF" w14:textId="77777777" w:rsidR="002C0AA6" w:rsidRPr="0076260A" w:rsidRDefault="002C0AA6" w:rsidP="002C0AA6">
      <w:pPr>
        <w:rPr>
          <w:sz w:val="20"/>
          <w:szCs w:val="20"/>
        </w:rPr>
      </w:pPr>
      <w:r w:rsidRPr="00C23EA0">
        <w:rPr>
          <w:sz w:val="20"/>
          <w:szCs w:val="20"/>
          <w:vertAlign w:val="superscript"/>
        </w:rPr>
        <w:t>††</w:t>
      </w:r>
      <w:r>
        <w:rPr>
          <w:sz w:val="20"/>
          <w:szCs w:val="20"/>
        </w:rPr>
        <w:t>Valores obtidos por meio da aplicação do teste Razão de verossimilhança.</w:t>
      </w:r>
    </w:p>
    <w:p w14:paraId="177C2BBC" w14:textId="77777777" w:rsidR="002C0AA6" w:rsidRDefault="002C0AA6" w:rsidP="002C0AA6">
      <w:pPr>
        <w:rPr>
          <w:sz w:val="20"/>
          <w:szCs w:val="20"/>
        </w:rPr>
      </w:pPr>
      <w:r w:rsidRPr="0076260A">
        <w:rPr>
          <w:sz w:val="20"/>
          <w:szCs w:val="20"/>
        </w:rPr>
        <w:t>Fonte: Dados da pesquisa, 2019.</w:t>
      </w:r>
    </w:p>
    <w:p w14:paraId="0888427A" w14:textId="77777777" w:rsidR="002C0AA6" w:rsidRPr="0097134E" w:rsidRDefault="002C0AA6">
      <w:pPr>
        <w:rPr>
          <w:rFonts w:ascii="Arial" w:hAnsi="Arial" w:cs="Arial"/>
          <w:shd w:val="clear" w:color="auto" w:fill="FFFFFF"/>
        </w:rPr>
      </w:pPr>
    </w:p>
    <w:sectPr w:rsidR="002C0AA6" w:rsidRPr="0097134E" w:rsidSect="007E69A7">
      <w:headerReference w:type="default" r:id="rId1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E4F5B" w14:textId="77777777" w:rsidR="00D5043D" w:rsidRDefault="00D5043D" w:rsidP="00C12C1E">
      <w:r>
        <w:separator/>
      </w:r>
    </w:p>
  </w:endnote>
  <w:endnote w:type="continuationSeparator" w:id="0">
    <w:p w14:paraId="6FAD9003" w14:textId="77777777" w:rsidR="00D5043D" w:rsidRDefault="00D5043D" w:rsidP="00C1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77D3B" w14:textId="77777777" w:rsidR="00D5043D" w:rsidRDefault="00D5043D" w:rsidP="00C12C1E">
      <w:r>
        <w:separator/>
      </w:r>
    </w:p>
  </w:footnote>
  <w:footnote w:type="continuationSeparator" w:id="0">
    <w:p w14:paraId="637B6B0F" w14:textId="77777777" w:rsidR="00D5043D" w:rsidRDefault="00D5043D" w:rsidP="00C12C1E">
      <w:r>
        <w:continuationSeparator/>
      </w:r>
    </w:p>
  </w:footnote>
  <w:footnote w:id="1">
    <w:p w14:paraId="7B32BACE" w14:textId="6762445A" w:rsidR="00BB1F25" w:rsidRDefault="00BB1F2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76B22">
        <w:rPr>
          <w:rFonts w:ascii="Arial" w:hAnsi="Arial" w:cs="Arial"/>
        </w:rPr>
        <w:t>Acadêmico do Curso de Medicina da Universidade do Extremo Sul Catarinense – UNESC, E-mail: filipe_rs95@hotmail.com</w:t>
      </w:r>
    </w:p>
  </w:footnote>
  <w:footnote w:id="2">
    <w:p w14:paraId="0F898B61" w14:textId="7A80D8F9" w:rsidR="00BB1F25" w:rsidRDefault="00BB1F2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76B22">
        <w:rPr>
          <w:rFonts w:ascii="Arial" w:hAnsi="Arial" w:cs="Arial"/>
        </w:rPr>
        <w:t xml:space="preserve">Acadêmico do Curso de Medicina da Universidade do Extremo Sul Catarinense – UNESC, E-mail: </w:t>
      </w:r>
      <w:r>
        <w:rPr>
          <w:rFonts w:ascii="Arial" w:hAnsi="Arial" w:cs="Arial"/>
        </w:rPr>
        <w:t>franzkneto@hotmail.com</w:t>
      </w:r>
    </w:p>
  </w:footnote>
  <w:footnote w:id="3">
    <w:p w14:paraId="6770D549" w14:textId="12A85781" w:rsidR="00BB1F25" w:rsidRDefault="00BB1F25" w:rsidP="00E352D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>Doutura em Engenharia da Produção na Universidade Federal de Santa Catarina – UFSC,</w:t>
      </w:r>
      <w:r w:rsidR="004F27FE">
        <w:rPr>
          <w:rFonts w:ascii="Arial" w:hAnsi="Arial" w:cs="Arial"/>
        </w:rPr>
        <w:t xml:space="preserve"> </w:t>
      </w:r>
      <w:r w:rsidR="004F27FE" w:rsidRPr="00576B22">
        <w:rPr>
          <w:rFonts w:ascii="Arial" w:hAnsi="Arial" w:cs="Arial"/>
        </w:rPr>
        <w:t xml:space="preserve">Professora </w:t>
      </w:r>
      <w:r w:rsidR="004F27FE">
        <w:rPr>
          <w:rFonts w:ascii="Arial" w:hAnsi="Arial" w:cs="Arial"/>
        </w:rPr>
        <w:t xml:space="preserve">do Curso de Educação Física </w:t>
      </w:r>
      <w:r w:rsidR="004F27FE" w:rsidRPr="00576B22">
        <w:rPr>
          <w:rFonts w:ascii="Arial" w:hAnsi="Arial" w:cs="Arial"/>
        </w:rPr>
        <w:t>da Universidade do Extremo Sul Catarinense – UNESC</w:t>
      </w:r>
      <w:r w:rsidR="00E352D9">
        <w:rPr>
          <w:rFonts w:ascii="Arial" w:hAnsi="Arial" w:cs="Arial"/>
        </w:rPr>
        <w:t>, E-</w:t>
      </w:r>
      <w:r w:rsidRPr="00E352D9">
        <w:rPr>
          <w:rFonts w:ascii="Arial" w:hAnsi="Arial" w:cs="Arial"/>
        </w:rPr>
        <w:t>mail:</w:t>
      </w:r>
      <w:r w:rsidR="00E352D9">
        <w:rPr>
          <w:rFonts w:ascii="Arial" w:hAnsi="Arial" w:cs="Arial"/>
        </w:rPr>
        <w:t xml:space="preserve"> </w:t>
      </w:r>
      <w:r w:rsidR="00E352D9" w:rsidRPr="00E352D9">
        <w:rPr>
          <w:rFonts w:ascii="Arial" w:hAnsi="Arial" w:cs="Arial"/>
        </w:rPr>
        <w:t>bra@unesc.net</w:t>
      </w:r>
    </w:p>
  </w:footnote>
  <w:footnote w:id="4">
    <w:p w14:paraId="00ACB065" w14:textId="0DEC96F0" w:rsidR="004F27FE" w:rsidRDefault="004F27FE" w:rsidP="004F27F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24BEA">
        <w:rPr>
          <w:rFonts w:ascii="Arial" w:hAnsi="Arial" w:cs="Arial"/>
          <w:shd w:val="clear" w:color="auto" w:fill="FFFFFF"/>
        </w:rPr>
        <w:t xml:space="preserve">Doutor em Ciências da Saúde pelo PPGCS/UNESC. Professor </w:t>
      </w:r>
      <w:r>
        <w:rPr>
          <w:rFonts w:ascii="Arial" w:hAnsi="Arial" w:cs="Arial"/>
          <w:shd w:val="clear" w:color="auto" w:fill="FFFFFF"/>
        </w:rPr>
        <w:t xml:space="preserve">e </w:t>
      </w:r>
      <w:r w:rsidRPr="00576B22">
        <w:rPr>
          <w:rFonts w:ascii="Arial" w:hAnsi="Arial" w:cs="Arial"/>
          <w:shd w:val="clear" w:color="auto" w:fill="FFFFFF"/>
        </w:rPr>
        <w:t xml:space="preserve">Pesquisador do Laboratório de Epidemiologia </w:t>
      </w:r>
      <w:r w:rsidRPr="00024BEA">
        <w:rPr>
          <w:rFonts w:ascii="Arial" w:hAnsi="Arial" w:cs="Arial"/>
          <w:shd w:val="clear" w:color="auto" w:fill="FFFFFF"/>
        </w:rPr>
        <w:t xml:space="preserve">do Curso de Medicina da </w:t>
      </w:r>
      <w:r w:rsidRPr="00576B22">
        <w:rPr>
          <w:rFonts w:ascii="Arial" w:hAnsi="Arial" w:cs="Arial"/>
        </w:rPr>
        <w:t xml:space="preserve">Universidade do Extremo Sul Catarinense </w:t>
      </w:r>
      <w:r>
        <w:rPr>
          <w:rFonts w:ascii="Arial" w:hAnsi="Arial" w:cs="Arial"/>
        </w:rPr>
        <w:t xml:space="preserve">– </w:t>
      </w:r>
      <w:r w:rsidRPr="00024BEA">
        <w:rPr>
          <w:rFonts w:ascii="Arial" w:hAnsi="Arial" w:cs="Arial"/>
          <w:shd w:val="clear" w:color="auto" w:fill="FFFFFF"/>
        </w:rPr>
        <w:t>UNESC</w:t>
      </w:r>
      <w:r>
        <w:rPr>
          <w:rFonts w:ascii="Arial" w:hAnsi="Arial" w:cs="Arial"/>
          <w:shd w:val="clear" w:color="auto" w:fill="FFFFFF"/>
        </w:rPr>
        <w:t xml:space="preserve">, </w:t>
      </w:r>
      <w:r w:rsidRPr="00E352D9">
        <w:rPr>
          <w:rFonts w:ascii="Arial" w:hAnsi="Arial" w:cs="Arial"/>
        </w:rPr>
        <w:t>E-mail:</w:t>
      </w:r>
      <w:r w:rsidR="00E352D9">
        <w:rPr>
          <w:rFonts w:ascii="Arial" w:hAnsi="Arial" w:cs="Arial"/>
        </w:rPr>
        <w:t xml:space="preserve"> Kristian@unesc.net</w:t>
      </w:r>
    </w:p>
    <w:p w14:paraId="3FC34695" w14:textId="45BDCC57" w:rsidR="004F27FE" w:rsidRDefault="004F27F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859536"/>
      <w:docPartObj>
        <w:docPartGallery w:val="Page Numbers (Top of Page)"/>
        <w:docPartUnique/>
      </w:docPartObj>
    </w:sdtPr>
    <w:sdtEndPr/>
    <w:sdtContent>
      <w:p w14:paraId="67D2DE93" w14:textId="1059B74B" w:rsidR="0097134E" w:rsidRDefault="0097134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43D">
          <w:rPr>
            <w:noProof/>
          </w:rPr>
          <w:t>1</w:t>
        </w:r>
        <w:r>
          <w:fldChar w:fldCharType="end"/>
        </w:r>
      </w:p>
    </w:sdtContent>
  </w:sdt>
  <w:p w14:paraId="24865552" w14:textId="77777777" w:rsidR="0097134E" w:rsidRDefault="009713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66F4F"/>
    <w:multiLevelType w:val="hybridMultilevel"/>
    <w:tmpl w:val="E9AAB564"/>
    <w:lvl w:ilvl="0" w:tplc="637AC7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42EA4"/>
    <w:multiLevelType w:val="multilevel"/>
    <w:tmpl w:val="8D9E749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E2256"/>
    <w:multiLevelType w:val="hybridMultilevel"/>
    <w:tmpl w:val="07500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67D8D"/>
    <w:multiLevelType w:val="hybridMultilevel"/>
    <w:tmpl w:val="E9AAB564"/>
    <w:lvl w:ilvl="0" w:tplc="637AC7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F85139"/>
    <w:multiLevelType w:val="hybridMultilevel"/>
    <w:tmpl w:val="DB70D6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D0F82"/>
    <w:multiLevelType w:val="hybridMultilevel"/>
    <w:tmpl w:val="8446D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1E"/>
    <w:rsid w:val="0000148C"/>
    <w:rsid w:val="0000725F"/>
    <w:rsid w:val="000107F1"/>
    <w:rsid w:val="00010E1A"/>
    <w:rsid w:val="00013AEE"/>
    <w:rsid w:val="00023D4B"/>
    <w:rsid w:val="00024BEA"/>
    <w:rsid w:val="00034E94"/>
    <w:rsid w:val="00042BBA"/>
    <w:rsid w:val="00054F5B"/>
    <w:rsid w:val="0006056D"/>
    <w:rsid w:val="000625CE"/>
    <w:rsid w:val="0006379E"/>
    <w:rsid w:val="000646F0"/>
    <w:rsid w:val="00070E19"/>
    <w:rsid w:val="00071133"/>
    <w:rsid w:val="00072F6D"/>
    <w:rsid w:val="000746F9"/>
    <w:rsid w:val="00082164"/>
    <w:rsid w:val="00083D54"/>
    <w:rsid w:val="0008442C"/>
    <w:rsid w:val="000851AF"/>
    <w:rsid w:val="0008640C"/>
    <w:rsid w:val="0009611E"/>
    <w:rsid w:val="000A28FE"/>
    <w:rsid w:val="000A2EA3"/>
    <w:rsid w:val="000A3FB9"/>
    <w:rsid w:val="000A458A"/>
    <w:rsid w:val="000A59EA"/>
    <w:rsid w:val="000A5F98"/>
    <w:rsid w:val="000B2FA2"/>
    <w:rsid w:val="000C1347"/>
    <w:rsid w:val="000C336C"/>
    <w:rsid w:val="000C4891"/>
    <w:rsid w:val="000C5408"/>
    <w:rsid w:val="000D0685"/>
    <w:rsid w:val="000D365F"/>
    <w:rsid w:val="000D412A"/>
    <w:rsid w:val="000E03E0"/>
    <w:rsid w:val="000E09E7"/>
    <w:rsid w:val="000E1B14"/>
    <w:rsid w:val="000E6576"/>
    <w:rsid w:val="000E76B8"/>
    <w:rsid w:val="000F19D0"/>
    <w:rsid w:val="000F71C4"/>
    <w:rsid w:val="0010133E"/>
    <w:rsid w:val="0010226C"/>
    <w:rsid w:val="001066A7"/>
    <w:rsid w:val="00110186"/>
    <w:rsid w:val="00114DAA"/>
    <w:rsid w:val="00115550"/>
    <w:rsid w:val="001213CB"/>
    <w:rsid w:val="0012218A"/>
    <w:rsid w:val="00125A08"/>
    <w:rsid w:val="00134A5C"/>
    <w:rsid w:val="0013561C"/>
    <w:rsid w:val="001430AC"/>
    <w:rsid w:val="001432E6"/>
    <w:rsid w:val="00145337"/>
    <w:rsid w:val="00145E09"/>
    <w:rsid w:val="001501F0"/>
    <w:rsid w:val="00151FAD"/>
    <w:rsid w:val="00152518"/>
    <w:rsid w:val="00153844"/>
    <w:rsid w:val="00155FF0"/>
    <w:rsid w:val="00162DBF"/>
    <w:rsid w:val="0016311C"/>
    <w:rsid w:val="0016564C"/>
    <w:rsid w:val="00170018"/>
    <w:rsid w:val="00170158"/>
    <w:rsid w:val="00175621"/>
    <w:rsid w:val="001765ED"/>
    <w:rsid w:val="00177858"/>
    <w:rsid w:val="00177BBC"/>
    <w:rsid w:val="0018290B"/>
    <w:rsid w:val="00184AE8"/>
    <w:rsid w:val="0018550A"/>
    <w:rsid w:val="00192547"/>
    <w:rsid w:val="001933B3"/>
    <w:rsid w:val="00194155"/>
    <w:rsid w:val="001978F6"/>
    <w:rsid w:val="00197D1C"/>
    <w:rsid w:val="001A23DC"/>
    <w:rsid w:val="001A2C60"/>
    <w:rsid w:val="001A4DC3"/>
    <w:rsid w:val="001A5EE5"/>
    <w:rsid w:val="001B6672"/>
    <w:rsid w:val="001C02D8"/>
    <w:rsid w:val="001C5D59"/>
    <w:rsid w:val="001C72F0"/>
    <w:rsid w:val="001D4B8F"/>
    <w:rsid w:val="001D4D2D"/>
    <w:rsid w:val="001D6D37"/>
    <w:rsid w:val="001E2613"/>
    <w:rsid w:val="001E7A04"/>
    <w:rsid w:val="001F02B1"/>
    <w:rsid w:val="001F2AB2"/>
    <w:rsid w:val="001F44B9"/>
    <w:rsid w:val="0020147A"/>
    <w:rsid w:val="002046DD"/>
    <w:rsid w:val="00205775"/>
    <w:rsid w:val="002075AC"/>
    <w:rsid w:val="00207BE3"/>
    <w:rsid w:val="00211F2B"/>
    <w:rsid w:val="00213EC8"/>
    <w:rsid w:val="00216241"/>
    <w:rsid w:val="002177B5"/>
    <w:rsid w:val="00220327"/>
    <w:rsid w:val="0022062E"/>
    <w:rsid w:val="00223C56"/>
    <w:rsid w:val="00224B41"/>
    <w:rsid w:val="00225C7E"/>
    <w:rsid w:val="00227E8B"/>
    <w:rsid w:val="002325ED"/>
    <w:rsid w:val="00236982"/>
    <w:rsid w:val="00241809"/>
    <w:rsid w:val="002447F2"/>
    <w:rsid w:val="00260194"/>
    <w:rsid w:val="002815D5"/>
    <w:rsid w:val="00283945"/>
    <w:rsid w:val="002850AE"/>
    <w:rsid w:val="00291C1B"/>
    <w:rsid w:val="002A0154"/>
    <w:rsid w:val="002A0B59"/>
    <w:rsid w:val="002A3690"/>
    <w:rsid w:val="002A6629"/>
    <w:rsid w:val="002B284E"/>
    <w:rsid w:val="002B5101"/>
    <w:rsid w:val="002B6544"/>
    <w:rsid w:val="002B6D7C"/>
    <w:rsid w:val="002C0AA6"/>
    <w:rsid w:val="002C26F9"/>
    <w:rsid w:val="002C4E82"/>
    <w:rsid w:val="002C7592"/>
    <w:rsid w:val="002D1F05"/>
    <w:rsid w:val="002D325C"/>
    <w:rsid w:val="002E01D3"/>
    <w:rsid w:val="002E44E5"/>
    <w:rsid w:val="002F02DE"/>
    <w:rsid w:val="002F09B1"/>
    <w:rsid w:val="002F3709"/>
    <w:rsid w:val="002F798C"/>
    <w:rsid w:val="002F7DD2"/>
    <w:rsid w:val="00302A2C"/>
    <w:rsid w:val="0030792D"/>
    <w:rsid w:val="00311C44"/>
    <w:rsid w:val="0031757E"/>
    <w:rsid w:val="003278D9"/>
    <w:rsid w:val="003378F4"/>
    <w:rsid w:val="0034197F"/>
    <w:rsid w:val="003427B3"/>
    <w:rsid w:val="00343179"/>
    <w:rsid w:val="00343321"/>
    <w:rsid w:val="00346BBA"/>
    <w:rsid w:val="00350A75"/>
    <w:rsid w:val="0035159D"/>
    <w:rsid w:val="00352DA8"/>
    <w:rsid w:val="00354532"/>
    <w:rsid w:val="003604DC"/>
    <w:rsid w:val="00361D00"/>
    <w:rsid w:val="00364DC6"/>
    <w:rsid w:val="003718AA"/>
    <w:rsid w:val="00375B18"/>
    <w:rsid w:val="00380BCE"/>
    <w:rsid w:val="00380D54"/>
    <w:rsid w:val="003871B3"/>
    <w:rsid w:val="00391CB0"/>
    <w:rsid w:val="003934EB"/>
    <w:rsid w:val="00393BB6"/>
    <w:rsid w:val="003956AB"/>
    <w:rsid w:val="003A4534"/>
    <w:rsid w:val="003A4696"/>
    <w:rsid w:val="003B200E"/>
    <w:rsid w:val="003B21AA"/>
    <w:rsid w:val="003B2690"/>
    <w:rsid w:val="003B3590"/>
    <w:rsid w:val="003B3D25"/>
    <w:rsid w:val="003B7F0B"/>
    <w:rsid w:val="003C1708"/>
    <w:rsid w:val="003C7FB2"/>
    <w:rsid w:val="003D3CAE"/>
    <w:rsid w:val="003D5BCB"/>
    <w:rsid w:val="003F3E44"/>
    <w:rsid w:val="003F58F7"/>
    <w:rsid w:val="00402459"/>
    <w:rsid w:val="00403C29"/>
    <w:rsid w:val="004041C1"/>
    <w:rsid w:val="00411BBD"/>
    <w:rsid w:val="00411D9B"/>
    <w:rsid w:val="0041563F"/>
    <w:rsid w:val="00426035"/>
    <w:rsid w:val="0043715C"/>
    <w:rsid w:val="004376D5"/>
    <w:rsid w:val="00443193"/>
    <w:rsid w:val="00443EFA"/>
    <w:rsid w:val="0045100B"/>
    <w:rsid w:val="00456261"/>
    <w:rsid w:val="0046178C"/>
    <w:rsid w:val="00461947"/>
    <w:rsid w:val="004627C8"/>
    <w:rsid w:val="00463AF5"/>
    <w:rsid w:val="00465738"/>
    <w:rsid w:val="00474839"/>
    <w:rsid w:val="00474B64"/>
    <w:rsid w:val="0047587D"/>
    <w:rsid w:val="00481C4F"/>
    <w:rsid w:val="00482F3D"/>
    <w:rsid w:val="00485751"/>
    <w:rsid w:val="00485A78"/>
    <w:rsid w:val="00497397"/>
    <w:rsid w:val="00497E04"/>
    <w:rsid w:val="004A0077"/>
    <w:rsid w:val="004A5208"/>
    <w:rsid w:val="004A5930"/>
    <w:rsid w:val="004B189E"/>
    <w:rsid w:val="004B6416"/>
    <w:rsid w:val="004B6968"/>
    <w:rsid w:val="004B6AC0"/>
    <w:rsid w:val="004B738E"/>
    <w:rsid w:val="004B7E3E"/>
    <w:rsid w:val="004C5718"/>
    <w:rsid w:val="004D05FF"/>
    <w:rsid w:val="004D0A1A"/>
    <w:rsid w:val="004D1BEF"/>
    <w:rsid w:val="004D1E84"/>
    <w:rsid w:val="004D344A"/>
    <w:rsid w:val="004D4F65"/>
    <w:rsid w:val="004D638C"/>
    <w:rsid w:val="004D6B91"/>
    <w:rsid w:val="004E2961"/>
    <w:rsid w:val="004E74AE"/>
    <w:rsid w:val="004F218F"/>
    <w:rsid w:val="004F27FE"/>
    <w:rsid w:val="004F5E69"/>
    <w:rsid w:val="00503293"/>
    <w:rsid w:val="005046A8"/>
    <w:rsid w:val="00511FDF"/>
    <w:rsid w:val="0052306E"/>
    <w:rsid w:val="00526440"/>
    <w:rsid w:val="00530DE4"/>
    <w:rsid w:val="00533573"/>
    <w:rsid w:val="005411EC"/>
    <w:rsid w:val="005557D2"/>
    <w:rsid w:val="005563D3"/>
    <w:rsid w:val="005604BA"/>
    <w:rsid w:val="0056115D"/>
    <w:rsid w:val="005656BA"/>
    <w:rsid w:val="005706ED"/>
    <w:rsid w:val="00577EB4"/>
    <w:rsid w:val="00580E2C"/>
    <w:rsid w:val="005814B9"/>
    <w:rsid w:val="005839B5"/>
    <w:rsid w:val="0058449A"/>
    <w:rsid w:val="00584969"/>
    <w:rsid w:val="00585B19"/>
    <w:rsid w:val="00592139"/>
    <w:rsid w:val="00592DC5"/>
    <w:rsid w:val="005972B0"/>
    <w:rsid w:val="00597D37"/>
    <w:rsid w:val="005B1557"/>
    <w:rsid w:val="005B2BCD"/>
    <w:rsid w:val="005B3176"/>
    <w:rsid w:val="005B3BBD"/>
    <w:rsid w:val="005B54E2"/>
    <w:rsid w:val="005C1461"/>
    <w:rsid w:val="005C62C0"/>
    <w:rsid w:val="005D2E03"/>
    <w:rsid w:val="005D3AD4"/>
    <w:rsid w:val="005E6E0F"/>
    <w:rsid w:val="005F0040"/>
    <w:rsid w:val="005F0444"/>
    <w:rsid w:val="005F1771"/>
    <w:rsid w:val="005F526C"/>
    <w:rsid w:val="00600211"/>
    <w:rsid w:val="006047BC"/>
    <w:rsid w:val="00604C8E"/>
    <w:rsid w:val="0061167C"/>
    <w:rsid w:val="00612C4F"/>
    <w:rsid w:val="00613F90"/>
    <w:rsid w:val="006218E9"/>
    <w:rsid w:val="006270FC"/>
    <w:rsid w:val="00627CF4"/>
    <w:rsid w:val="0063159C"/>
    <w:rsid w:val="0063384F"/>
    <w:rsid w:val="00635DB9"/>
    <w:rsid w:val="0064294D"/>
    <w:rsid w:val="00643DFF"/>
    <w:rsid w:val="00645FFB"/>
    <w:rsid w:val="00647899"/>
    <w:rsid w:val="00650F6D"/>
    <w:rsid w:val="006530C3"/>
    <w:rsid w:val="0065353F"/>
    <w:rsid w:val="00660B8C"/>
    <w:rsid w:val="00662318"/>
    <w:rsid w:val="00671385"/>
    <w:rsid w:val="00672600"/>
    <w:rsid w:val="006730C1"/>
    <w:rsid w:val="006732E9"/>
    <w:rsid w:val="006736F4"/>
    <w:rsid w:val="00674CDC"/>
    <w:rsid w:val="00675E16"/>
    <w:rsid w:val="0068099F"/>
    <w:rsid w:val="006816D8"/>
    <w:rsid w:val="00684734"/>
    <w:rsid w:val="00685DA0"/>
    <w:rsid w:val="00691275"/>
    <w:rsid w:val="00692409"/>
    <w:rsid w:val="00695207"/>
    <w:rsid w:val="00695397"/>
    <w:rsid w:val="00695F13"/>
    <w:rsid w:val="00696C90"/>
    <w:rsid w:val="006A5704"/>
    <w:rsid w:val="006A645B"/>
    <w:rsid w:val="006A7545"/>
    <w:rsid w:val="006B4325"/>
    <w:rsid w:val="006B439E"/>
    <w:rsid w:val="006B66D8"/>
    <w:rsid w:val="006B78DA"/>
    <w:rsid w:val="006C1775"/>
    <w:rsid w:val="006C4CBE"/>
    <w:rsid w:val="006C6BB6"/>
    <w:rsid w:val="006D3BC3"/>
    <w:rsid w:val="006D58FA"/>
    <w:rsid w:val="006D683C"/>
    <w:rsid w:val="006D6B6C"/>
    <w:rsid w:val="006E1BB1"/>
    <w:rsid w:val="006E7844"/>
    <w:rsid w:val="006F0612"/>
    <w:rsid w:val="006F11E6"/>
    <w:rsid w:val="006F1C86"/>
    <w:rsid w:val="006F6C70"/>
    <w:rsid w:val="006F7F67"/>
    <w:rsid w:val="0070045D"/>
    <w:rsid w:val="00701C7A"/>
    <w:rsid w:val="0070570B"/>
    <w:rsid w:val="00711BAC"/>
    <w:rsid w:val="00713543"/>
    <w:rsid w:val="00716438"/>
    <w:rsid w:val="00720029"/>
    <w:rsid w:val="007206BA"/>
    <w:rsid w:val="0072319E"/>
    <w:rsid w:val="007308D6"/>
    <w:rsid w:val="00733A67"/>
    <w:rsid w:val="00734E78"/>
    <w:rsid w:val="007355D0"/>
    <w:rsid w:val="00744E0F"/>
    <w:rsid w:val="00745D3F"/>
    <w:rsid w:val="00752713"/>
    <w:rsid w:val="00756BE3"/>
    <w:rsid w:val="00757F53"/>
    <w:rsid w:val="007603E4"/>
    <w:rsid w:val="0076328C"/>
    <w:rsid w:val="00764275"/>
    <w:rsid w:val="00772E5F"/>
    <w:rsid w:val="00775E87"/>
    <w:rsid w:val="00777AEC"/>
    <w:rsid w:val="00781E24"/>
    <w:rsid w:val="007853D3"/>
    <w:rsid w:val="00787956"/>
    <w:rsid w:val="007913DA"/>
    <w:rsid w:val="007A03E9"/>
    <w:rsid w:val="007A073D"/>
    <w:rsid w:val="007A2C2A"/>
    <w:rsid w:val="007A38E1"/>
    <w:rsid w:val="007A434B"/>
    <w:rsid w:val="007B258B"/>
    <w:rsid w:val="007B43B2"/>
    <w:rsid w:val="007C2FD4"/>
    <w:rsid w:val="007C33DB"/>
    <w:rsid w:val="007C4D7B"/>
    <w:rsid w:val="007C6CFC"/>
    <w:rsid w:val="007C74AE"/>
    <w:rsid w:val="007D06FD"/>
    <w:rsid w:val="007E202D"/>
    <w:rsid w:val="007E31DA"/>
    <w:rsid w:val="007E346A"/>
    <w:rsid w:val="007E34E8"/>
    <w:rsid w:val="007E4758"/>
    <w:rsid w:val="007E69A7"/>
    <w:rsid w:val="007F0639"/>
    <w:rsid w:val="007F0F90"/>
    <w:rsid w:val="007F0F9D"/>
    <w:rsid w:val="007F78F1"/>
    <w:rsid w:val="0080103A"/>
    <w:rsid w:val="0081017C"/>
    <w:rsid w:val="008163E9"/>
    <w:rsid w:val="008265C0"/>
    <w:rsid w:val="0083140C"/>
    <w:rsid w:val="00832B01"/>
    <w:rsid w:val="00832BA5"/>
    <w:rsid w:val="00832F1A"/>
    <w:rsid w:val="00833CA7"/>
    <w:rsid w:val="00835483"/>
    <w:rsid w:val="0084369F"/>
    <w:rsid w:val="00845AC0"/>
    <w:rsid w:val="00846B01"/>
    <w:rsid w:val="00860C98"/>
    <w:rsid w:val="00861B02"/>
    <w:rsid w:val="008638B2"/>
    <w:rsid w:val="00871289"/>
    <w:rsid w:val="00873076"/>
    <w:rsid w:val="0087660A"/>
    <w:rsid w:val="00876E30"/>
    <w:rsid w:val="0088168A"/>
    <w:rsid w:val="0088296D"/>
    <w:rsid w:val="00882D14"/>
    <w:rsid w:val="00887C6C"/>
    <w:rsid w:val="00892FD5"/>
    <w:rsid w:val="00893E61"/>
    <w:rsid w:val="008946A4"/>
    <w:rsid w:val="00894E87"/>
    <w:rsid w:val="008A17A6"/>
    <w:rsid w:val="008A2684"/>
    <w:rsid w:val="008A37BE"/>
    <w:rsid w:val="008A4729"/>
    <w:rsid w:val="008B2CD8"/>
    <w:rsid w:val="008C2B2A"/>
    <w:rsid w:val="008C573E"/>
    <w:rsid w:val="008C778E"/>
    <w:rsid w:val="008D4DE6"/>
    <w:rsid w:val="008D55BF"/>
    <w:rsid w:val="008E58B4"/>
    <w:rsid w:val="008E7113"/>
    <w:rsid w:val="008F4210"/>
    <w:rsid w:val="008F7E0F"/>
    <w:rsid w:val="009022B7"/>
    <w:rsid w:val="00907E1D"/>
    <w:rsid w:val="009206CA"/>
    <w:rsid w:val="00921EE9"/>
    <w:rsid w:val="0092253B"/>
    <w:rsid w:val="009232F7"/>
    <w:rsid w:val="00935B05"/>
    <w:rsid w:val="00951773"/>
    <w:rsid w:val="009519E4"/>
    <w:rsid w:val="00951A1A"/>
    <w:rsid w:val="00956875"/>
    <w:rsid w:val="00961A19"/>
    <w:rsid w:val="00962C96"/>
    <w:rsid w:val="00963FAA"/>
    <w:rsid w:val="00965049"/>
    <w:rsid w:val="0096586B"/>
    <w:rsid w:val="0097134E"/>
    <w:rsid w:val="00971744"/>
    <w:rsid w:val="009718F4"/>
    <w:rsid w:val="009725BF"/>
    <w:rsid w:val="009835C5"/>
    <w:rsid w:val="009853F4"/>
    <w:rsid w:val="00991710"/>
    <w:rsid w:val="009933CF"/>
    <w:rsid w:val="009975A8"/>
    <w:rsid w:val="009A244F"/>
    <w:rsid w:val="009A29E5"/>
    <w:rsid w:val="009B5107"/>
    <w:rsid w:val="009B6BEC"/>
    <w:rsid w:val="009B6F2A"/>
    <w:rsid w:val="009C0EE0"/>
    <w:rsid w:val="009C22AF"/>
    <w:rsid w:val="009C54AA"/>
    <w:rsid w:val="009D154B"/>
    <w:rsid w:val="009D42B2"/>
    <w:rsid w:val="009D6F50"/>
    <w:rsid w:val="009E3429"/>
    <w:rsid w:val="009E3893"/>
    <w:rsid w:val="009F1903"/>
    <w:rsid w:val="009F6F4B"/>
    <w:rsid w:val="00A07CCB"/>
    <w:rsid w:val="00A1170D"/>
    <w:rsid w:val="00A21741"/>
    <w:rsid w:val="00A3060D"/>
    <w:rsid w:val="00A35B71"/>
    <w:rsid w:val="00A41F2B"/>
    <w:rsid w:val="00A42A63"/>
    <w:rsid w:val="00A442CF"/>
    <w:rsid w:val="00A4541F"/>
    <w:rsid w:val="00A5529A"/>
    <w:rsid w:val="00A5799E"/>
    <w:rsid w:val="00A601E5"/>
    <w:rsid w:val="00A631FA"/>
    <w:rsid w:val="00A75B8A"/>
    <w:rsid w:val="00A7668B"/>
    <w:rsid w:val="00A80084"/>
    <w:rsid w:val="00A81A79"/>
    <w:rsid w:val="00A82E60"/>
    <w:rsid w:val="00A8414F"/>
    <w:rsid w:val="00A84367"/>
    <w:rsid w:val="00A85946"/>
    <w:rsid w:val="00A923BD"/>
    <w:rsid w:val="00A95362"/>
    <w:rsid w:val="00A96B87"/>
    <w:rsid w:val="00A9756A"/>
    <w:rsid w:val="00AA24D9"/>
    <w:rsid w:val="00AA584A"/>
    <w:rsid w:val="00AA7AFE"/>
    <w:rsid w:val="00AA7E84"/>
    <w:rsid w:val="00AB3B6E"/>
    <w:rsid w:val="00AC3886"/>
    <w:rsid w:val="00AC3D25"/>
    <w:rsid w:val="00AD0FE0"/>
    <w:rsid w:val="00AD1164"/>
    <w:rsid w:val="00AD3857"/>
    <w:rsid w:val="00AD6205"/>
    <w:rsid w:val="00AD7FB1"/>
    <w:rsid w:val="00AE1F97"/>
    <w:rsid w:val="00AE3DE9"/>
    <w:rsid w:val="00AE6409"/>
    <w:rsid w:val="00AE69B3"/>
    <w:rsid w:val="00AE78E6"/>
    <w:rsid w:val="00AE7E6E"/>
    <w:rsid w:val="00AF011E"/>
    <w:rsid w:val="00AF18AE"/>
    <w:rsid w:val="00B03299"/>
    <w:rsid w:val="00B05482"/>
    <w:rsid w:val="00B1242A"/>
    <w:rsid w:val="00B14338"/>
    <w:rsid w:val="00B16198"/>
    <w:rsid w:val="00B260C6"/>
    <w:rsid w:val="00B32123"/>
    <w:rsid w:val="00B343EB"/>
    <w:rsid w:val="00B37031"/>
    <w:rsid w:val="00B4474E"/>
    <w:rsid w:val="00B509B9"/>
    <w:rsid w:val="00B56A77"/>
    <w:rsid w:val="00B6249D"/>
    <w:rsid w:val="00B624A4"/>
    <w:rsid w:val="00B6457C"/>
    <w:rsid w:val="00B65993"/>
    <w:rsid w:val="00B661D2"/>
    <w:rsid w:val="00B667F3"/>
    <w:rsid w:val="00B70980"/>
    <w:rsid w:val="00B73229"/>
    <w:rsid w:val="00B746B7"/>
    <w:rsid w:val="00B748A6"/>
    <w:rsid w:val="00B80E62"/>
    <w:rsid w:val="00B8163D"/>
    <w:rsid w:val="00B8318F"/>
    <w:rsid w:val="00B84A7C"/>
    <w:rsid w:val="00B90702"/>
    <w:rsid w:val="00B907AB"/>
    <w:rsid w:val="00B93203"/>
    <w:rsid w:val="00B945EA"/>
    <w:rsid w:val="00BA5EAC"/>
    <w:rsid w:val="00BA73C7"/>
    <w:rsid w:val="00BA74C4"/>
    <w:rsid w:val="00BB070E"/>
    <w:rsid w:val="00BB07C4"/>
    <w:rsid w:val="00BB0A80"/>
    <w:rsid w:val="00BB1F25"/>
    <w:rsid w:val="00BB32EA"/>
    <w:rsid w:val="00BB3631"/>
    <w:rsid w:val="00BB468C"/>
    <w:rsid w:val="00BB5FFD"/>
    <w:rsid w:val="00BC4F70"/>
    <w:rsid w:val="00BC5F32"/>
    <w:rsid w:val="00BC73ED"/>
    <w:rsid w:val="00BC7C95"/>
    <w:rsid w:val="00BD122A"/>
    <w:rsid w:val="00BD4A79"/>
    <w:rsid w:val="00BD5C79"/>
    <w:rsid w:val="00BD6056"/>
    <w:rsid w:val="00BD76EC"/>
    <w:rsid w:val="00BE03A4"/>
    <w:rsid w:val="00BE0DEE"/>
    <w:rsid w:val="00BF0AC2"/>
    <w:rsid w:val="00BF1E0B"/>
    <w:rsid w:val="00BF2958"/>
    <w:rsid w:val="00C00695"/>
    <w:rsid w:val="00C03E05"/>
    <w:rsid w:val="00C06307"/>
    <w:rsid w:val="00C0776A"/>
    <w:rsid w:val="00C07949"/>
    <w:rsid w:val="00C10C0F"/>
    <w:rsid w:val="00C12B59"/>
    <w:rsid w:val="00C12C1E"/>
    <w:rsid w:val="00C20CB9"/>
    <w:rsid w:val="00C22FE9"/>
    <w:rsid w:val="00C236FA"/>
    <w:rsid w:val="00C2567C"/>
    <w:rsid w:val="00C3259C"/>
    <w:rsid w:val="00C3340B"/>
    <w:rsid w:val="00C33A00"/>
    <w:rsid w:val="00C34303"/>
    <w:rsid w:val="00C359B9"/>
    <w:rsid w:val="00C40782"/>
    <w:rsid w:val="00C409C5"/>
    <w:rsid w:val="00C42B73"/>
    <w:rsid w:val="00C43ADE"/>
    <w:rsid w:val="00C450F5"/>
    <w:rsid w:val="00C50482"/>
    <w:rsid w:val="00C5154B"/>
    <w:rsid w:val="00C55338"/>
    <w:rsid w:val="00C5722B"/>
    <w:rsid w:val="00C63E26"/>
    <w:rsid w:val="00C66992"/>
    <w:rsid w:val="00C67A7E"/>
    <w:rsid w:val="00C710AE"/>
    <w:rsid w:val="00C724C8"/>
    <w:rsid w:val="00C725BF"/>
    <w:rsid w:val="00C73E38"/>
    <w:rsid w:val="00C82B00"/>
    <w:rsid w:val="00C87CE7"/>
    <w:rsid w:val="00C91BE5"/>
    <w:rsid w:val="00C92676"/>
    <w:rsid w:val="00C927AE"/>
    <w:rsid w:val="00C94E24"/>
    <w:rsid w:val="00CA426A"/>
    <w:rsid w:val="00CA7E26"/>
    <w:rsid w:val="00CB4BCB"/>
    <w:rsid w:val="00CC27AB"/>
    <w:rsid w:val="00CC6D0A"/>
    <w:rsid w:val="00CC6E8B"/>
    <w:rsid w:val="00CD32CA"/>
    <w:rsid w:val="00CD39CA"/>
    <w:rsid w:val="00CD5409"/>
    <w:rsid w:val="00CD74D7"/>
    <w:rsid w:val="00CD76B2"/>
    <w:rsid w:val="00CE2B5B"/>
    <w:rsid w:val="00CE3242"/>
    <w:rsid w:val="00CE548F"/>
    <w:rsid w:val="00CF2B9C"/>
    <w:rsid w:val="00CF442F"/>
    <w:rsid w:val="00CF4635"/>
    <w:rsid w:val="00CF4D73"/>
    <w:rsid w:val="00CF4F41"/>
    <w:rsid w:val="00CF6003"/>
    <w:rsid w:val="00CF65CF"/>
    <w:rsid w:val="00D06F3C"/>
    <w:rsid w:val="00D0720E"/>
    <w:rsid w:val="00D10969"/>
    <w:rsid w:val="00D12283"/>
    <w:rsid w:val="00D12B97"/>
    <w:rsid w:val="00D14DE7"/>
    <w:rsid w:val="00D159D6"/>
    <w:rsid w:val="00D17CD3"/>
    <w:rsid w:val="00D20537"/>
    <w:rsid w:val="00D23456"/>
    <w:rsid w:val="00D2412A"/>
    <w:rsid w:val="00D2724D"/>
    <w:rsid w:val="00D305BF"/>
    <w:rsid w:val="00D30D00"/>
    <w:rsid w:val="00D30D3B"/>
    <w:rsid w:val="00D3305C"/>
    <w:rsid w:val="00D34F22"/>
    <w:rsid w:val="00D361D4"/>
    <w:rsid w:val="00D451B8"/>
    <w:rsid w:val="00D45678"/>
    <w:rsid w:val="00D5043D"/>
    <w:rsid w:val="00D517A8"/>
    <w:rsid w:val="00D52122"/>
    <w:rsid w:val="00D52858"/>
    <w:rsid w:val="00D53D40"/>
    <w:rsid w:val="00D578F8"/>
    <w:rsid w:val="00D60B84"/>
    <w:rsid w:val="00D63357"/>
    <w:rsid w:val="00D66C32"/>
    <w:rsid w:val="00D670F4"/>
    <w:rsid w:val="00D674B8"/>
    <w:rsid w:val="00D7066B"/>
    <w:rsid w:val="00D75188"/>
    <w:rsid w:val="00D777A3"/>
    <w:rsid w:val="00D809C5"/>
    <w:rsid w:val="00D81315"/>
    <w:rsid w:val="00D82206"/>
    <w:rsid w:val="00D87056"/>
    <w:rsid w:val="00D9352D"/>
    <w:rsid w:val="00D9699A"/>
    <w:rsid w:val="00DA1104"/>
    <w:rsid w:val="00DA1F3B"/>
    <w:rsid w:val="00DA5DA0"/>
    <w:rsid w:val="00DA784F"/>
    <w:rsid w:val="00DB07B1"/>
    <w:rsid w:val="00DB0C6C"/>
    <w:rsid w:val="00DB58CC"/>
    <w:rsid w:val="00DB67D7"/>
    <w:rsid w:val="00DC577F"/>
    <w:rsid w:val="00DC57BC"/>
    <w:rsid w:val="00DD1969"/>
    <w:rsid w:val="00DD1F72"/>
    <w:rsid w:val="00DD55EE"/>
    <w:rsid w:val="00DD5793"/>
    <w:rsid w:val="00DD60D0"/>
    <w:rsid w:val="00DD7C39"/>
    <w:rsid w:val="00DE1372"/>
    <w:rsid w:val="00DE1BB6"/>
    <w:rsid w:val="00DE261F"/>
    <w:rsid w:val="00DE7975"/>
    <w:rsid w:val="00DF6975"/>
    <w:rsid w:val="00DF7D48"/>
    <w:rsid w:val="00E0492B"/>
    <w:rsid w:val="00E06838"/>
    <w:rsid w:val="00E073C6"/>
    <w:rsid w:val="00E07E40"/>
    <w:rsid w:val="00E10160"/>
    <w:rsid w:val="00E10332"/>
    <w:rsid w:val="00E2178A"/>
    <w:rsid w:val="00E21D27"/>
    <w:rsid w:val="00E256A8"/>
    <w:rsid w:val="00E261B9"/>
    <w:rsid w:val="00E3150D"/>
    <w:rsid w:val="00E33902"/>
    <w:rsid w:val="00E341B8"/>
    <w:rsid w:val="00E352D9"/>
    <w:rsid w:val="00E3583B"/>
    <w:rsid w:val="00E35DCE"/>
    <w:rsid w:val="00E36695"/>
    <w:rsid w:val="00E4058F"/>
    <w:rsid w:val="00E41799"/>
    <w:rsid w:val="00E41E94"/>
    <w:rsid w:val="00E426DA"/>
    <w:rsid w:val="00E42DFB"/>
    <w:rsid w:val="00E431ED"/>
    <w:rsid w:val="00E44641"/>
    <w:rsid w:val="00E47BC4"/>
    <w:rsid w:val="00E53B08"/>
    <w:rsid w:val="00E61637"/>
    <w:rsid w:val="00E6424B"/>
    <w:rsid w:val="00E65EA4"/>
    <w:rsid w:val="00E7207E"/>
    <w:rsid w:val="00E722F8"/>
    <w:rsid w:val="00E7393C"/>
    <w:rsid w:val="00E7692E"/>
    <w:rsid w:val="00E80532"/>
    <w:rsid w:val="00E8073B"/>
    <w:rsid w:val="00E8075B"/>
    <w:rsid w:val="00E83C74"/>
    <w:rsid w:val="00E85DD6"/>
    <w:rsid w:val="00E87358"/>
    <w:rsid w:val="00E929BF"/>
    <w:rsid w:val="00E92BE0"/>
    <w:rsid w:val="00E96819"/>
    <w:rsid w:val="00EA00A8"/>
    <w:rsid w:val="00EA4C28"/>
    <w:rsid w:val="00EB2A27"/>
    <w:rsid w:val="00EB2F45"/>
    <w:rsid w:val="00EB5493"/>
    <w:rsid w:val="00EB54BD"/>
    <w:rsid w:val="00EB5A1C"/>
    <w:rsid w:val="00ED59EC"/>
    <w:rsid w:val="00ED66E3"/>
    <w:rsid w:val="00EE197A"/>
    <w:rsid w:val="00EE1F55"/>
    <w:rsid w:val="00EE3936"/>
    <w:rsid w:val="00EF19F8"/>
    <w:rsid w:val="00EF1F61"/>
    <w:rsid w:val="00EF3455"/>
    <w:rsid w:val="00EF3526"/>
    <w:rsid w:val="00EF5410"/>
    <w:rsid w:val="00EF661B"/>
    <w:rsid w:val="00EF6F21"/>
    <w:rsid w:val="00F0672A"/>
    <w:rsid w:val="00F07B8D"/>
    <w:rsid w:val="00F10DC0"/>
    <w:rsid w:val="00F13E1A"/>
    <w:rsid w:val="00F14837"/>
    <w:rsid w:val="00F160D5"/>
    <w:rsid w:val="00F1689A"/>
    <w:rsid w:val="00F17F12"/>
    <w:rsid w:val="00F23C18"/>
    <w:rsid w:val="00F31A59"/>
    <w:rsid w:val="00F32238"/>
    <w:rsid w:val="00F32B54"/>
    <w:rsid w:val="00F32C48"/>
    <w:rsid w:val="00F331E0"/>
    <w:rsid w:val="00F55D39"/>
    <w:rsid w:val="00F56B48"/>
    <w:rsid w:val="00F61047"/>
    <w:rsid w:val="00F615B2"/>
    <w:rsid w:val="00F617FF"/>
    <w:rsid w:val="00F62185"/>
    <w:rsid w:val="00F63CDA"/>
    <w:rsid w:val="00F64573"/>
    <w:rsid w:val="00F70D29"/>
    <w:rsid w:val="00F71F82"/>
    <w:rsid w:val="00F749C9"/>
    <w:rsid w:val="00F82EAB"/>
    <w:rsid w:val="00F8592D"/>
    <w:rsid w:val="00F85A16"/>
    <w:rsid w:val="00F92838"/>
    <w:rsid w:val="00F9405B"/>
    <w:rsid w:val="00F96A4E"/>
    <w:rsid w:val="00FA2D56"/>
    <w:rsid w:val="00FA5CCC"/>
    <w:rsid w:val="00FB0203"/>
    <w:rsid w:val="00FB0279"/>
    <w:rsid w:val="00FB0703"/>
    <w:rsid w:val="00FB102C"/>
    <w:rsid w:val="00FB241C"/>
    <w:rsid w:val="00FB57B4"/>
    <w:rsid w:val="00FC51B6"/>
    <w:rsid w:val="00FD0173"/>
    <w:rsid w:val="00FD0420"/>
    <w:rsid w:val="00FD08B4"/>
    <w:rsid w:val="00FD1D43"/>
    <w:rsid w:val="00FE1153"/>
    <w:rsid w:val="00FE1EED"/>
    <w:rsid w:val="00FE3328"/>
    <w:rsid w:val="00FE49F2"/>
    <w:rsid w:val="00FE53F3"/>
    <w:rsid w:val="00FF423F"/>
    <w:rsid w:val="00FF55B5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369D"/>
  <w15:docId w15:val="{FA2DDF39-DBD9-4D7E-96DA-59544271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2C1E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eastAsia="Arial Unicode MS"/>
      <w:b/>
      <w:bCs/>
      <w:color w:val="000000"/>
    </w:rPr>
  </w:style>
  <w:style w:type="paragraph" w:styleId="Ttulo2">
    <w:name w:val="heading 2"/>
    <w:basedOn w:val="Normal"/>
    <w:next w:val="Normal"/>
    <w:link w:val="Ttulo2Char"/>
    <w:qFormat/>
    <w:rsid w:val="00C12C1E"/>
    <w:pPr>
      <w:keepNext/>
      <w:tabs>
        <w:tab w:val="num" w:pos="-2520"/>
        <w:tab w:val="num" w:pos="360"/>
      </w:tabs>
      <w:autoSpaceDE w:val="0"/>
      <w:autoSpaceDN w:val="0"/>
      <w:adjustRightInd w:val="0"/>
      <w:spacing w:line="360" w:lineRule="auto"/>
      <w:jc w:val="both"/>
      <w:outlineLvl w:val="1"/>
    </w:pPr>
    <w:rPr>
      <w:rFonts w:eastAsia="Arial Unicode MS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3F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C12C1E"/>
    <w:pPr>
      <w:keepNext/>
      <w:widowControl w:val="0"/>
      <w:spacing w:before="80" w:after="80" w:line="360" w:lineRule="auto"/>
      <w:jc w:val="center"/>
      <w:outlineLvl w:val="3"/>
    </w:pPr>
    <w:rPr>
      <w:rFonts w:ascii="Arial" w:eastAsia="Arial Unicode MS" w:hAnsi="Arial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2C1E"/>
    <w:rPr>
      <w:rFonts w:ascii="Times New Roman" w:eastAsia="Arial Unicode MS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12C1E"/>
    <w:rPr>
      <w:rFonts w:ascii="Times New Roman" w:eastAsia="Arial Unicode MS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12C1E"/>
    <w:rPr>
      <w:rFonts w:ascii="Arial" w:eastAsia="Arial Unicode MS" w:hAnsi="Arial" w:cs="Times New Roman"/>
      <w:sz w:val="24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rsid w:val="00C12C1E"/>
    <w:pPr>
      <w:jc w:val="both"/>
    </w:pPr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C12C1E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Refdenotaderodap">
    <w:name w:val="footnote reference"/>
    <w:basedOn w:val="Fontepargpadro"/>
    <w:semiHidden/>
    <w:rsid w:val="00C12C1E"/>
    <w:rPr>
      <w:vertAlign w:val="superscript"/>
    </w:rPr>
  </w:style>
  <w:style w:type="paragraph" w:styleId="Recuodecorpodetexto2">
    <w:name w:val="Body Text Indent 2"/>
    <w:basedOn w:val="Normal"/>
    <w:link w:val="Recuodecorpodetexto2Char"/>
    <w:semiHidden/>
    <w:rsid w:val="00C12C1E"/>
    <w:pPr>
      <w:spacing w:line="360" w:lineRule="auto"/>
      <w:ind w:firstLine="36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12C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C12C1E"/>
    <w:pPr>
      <w:autoSpaceDE w:val="0"/>
      <w:autoSpaceDN w:val="0"/>
      <w:adjustRightInd w:val="0"/>
      <w:spacing w:line="360" w:lineRule="auto"/>
      <w:jc w:val="center"/>
    </w:pPr>
    <w:rPr>
      <w:b/>
      <w:bCs/>
      <w:color w:val="000000"/>
      <w:szCs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C12C1E"/>
    <w:rPr>
      <w:rFonts w:ascii="Times New Roman" w:eastAsia="Times New Roman" w:hAnsi="Times New Roman" w:cs="Times New Roman"/>
      <w:b/>
      <w:bCs/>
      <w:color w:val="000000"/>
      <w:sz w:val="24"/>
      <w:szCs w:val="28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C12C1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2C1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2C1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C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C1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ongtext">
    <w:name w:val="long_text"/>
    <w:basedOn w:val="Fontepargpadro"/>
    <w:rsid w:val="00A631FA"/>
  </w:style>
  <w:style w:type="paragraph" w:styleId="Textodecomentrio">
    <w:name w:val="annotation text"/>
    <w:basedOn w:val="Normal"/>
    <w:link w:val="TextodecomentrioChar"/>
    <w:uiPriority w:val="99"/>
    <w:unhideWhenUsed/>
    <w:rsid w:val="000A59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A59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F19F8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EF19F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CA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A29E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29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29E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389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13AE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13AE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5706ED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485A78"/>
  </w:style>
  <w:style w:type="paragraph" w:styleId="Legenda">
    <w:name w:val="caption"/>
    <w:basedOn w:val="Normal"/>
    <w:next w:val="Normal"/>
    <w:uiPriority w:val="35"/>
    <w:unhideWhenUsed/>
    <w:qFormat/>
    <w:rsid w:val="00DD60D0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SombreamentoClaro-nfase11">
    <w:name w:val="Sombreamento Claro - Ênfase 11"/>
    <w:basedOn w:val="Tabelanormal"/>
    <w:uiPriority w:val="60"/>
    <w:rsid w:val="00C94E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0A3F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0A3FB9"/>
  </w:style>
  <w:style w:type="character" w:customStyle="1" w:styleId="ui-ncbitoggler-master-text">
    <w:name w:val="ui-ncbitoggler-master-text"/>
    <w:basedOn w:val="Fontepargpadro"/>
    <w:rsid w:val="000A3FB9"/>
  </w:style>
  <w:style w:type="paragraph" w:styleId="NormalWeb">
    <w:name w:val="Normal (Web)"/>
    <w:basedOn w:val="Normal"/>
    <w:uiPriority w:val="99"/>
    <w:semiHidden/>
    <w:unhideWhenUsed/>
    <w:rsid w:val="000A3FB9"/>
    <w:pPr>
      <w:spacing w:before="100" w:beforeAutospacing="1" w:after="100" w:afterAutospacing="1"/>
    </w:pPr>
  </w:style>
  <w:style w:type="paragraph" w:customStyle="1" w:styleId="Ttulo10">
    <w:name w:val="Título1"/>
    <w:basedOn w:val="Normal"/>
    <w:rsid w:val="00DD1969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DD1969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DD1969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DD1969"/>
  </w:style>
  <w:style w:type="character" w:customStyle="1" w:styleId="searchresultjournal">
    <w:name w:val="searchresultjournal"/>
    <w:basedOn w:val="Fontepargpadro"/>
    <w:rsid w:val="007E31DA"/>
  </w:style>
  <w:style w:type="paragraph" w:customStyle="1" w:styleId="EndNoteBibliography">
    <w:name w:val="EndNote Bibliography"/>
    <w:basedOn w:val="Normal"/>
    <w:link w:val="EndNoteBibliographyChar"/>
    <w:rsid w:val="007E31DA"/>
    <w:pPr>
      <w:spacing w:after="200"/>
      <w:jc w:val="both"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link w:val="EndNoteBibliography"/>
    <w:rsid w:val="007E31DA"/>
    <w:rPr>
      <w:rFonts w:ascii="Calibri" w:eastAsia="Calibri" w:hAnsi="Calibri" w:cs="Times New Roman"/>
      <w:noProof/>
      <w:lang w:val="en-US"/>
    </w:rPr>
  </w:style>
  <w:style w:type="character" w:customStyle="1" w:styleId="article-title">
    <w:name w:val="article-title"/>
    <w:rsid w:val="00D159D6"/>
  </w:style>
  <w:style w:type="character" w:styleId="HiperlinkVisitado">
    <w:name w:val="FollowedHyperlink"/>
    <w:basedOn w:val="Fontepargpadro"/>
    <w:uiPriority w:val="99"/>
    <w:semiHidden/>
    <w:unhideWhenUsed/>
    <w:rsid w:val="00F61047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1047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2D56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A17A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A1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8A17A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713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13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13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13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2215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03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57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17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0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92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e_rs95@hotmail.com" TargetMode="External"/><Relationship Id="rId13" Type="http://schemas.openxmlformats.org/officeDocument/2006/relationships/hyperlink" Target="http://dx.doi.org/10.1590/1517-86922019250418116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20960/nh.56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lo.br/scielo.php?script=sci_arttext&amp;pid=S1415-52732010000400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16/j.jped.2018.10.009" TargetMode="External"/><Relationship Id="rId10" Type="http://schemas.openxmlformats.org/officeDocument/2006/relationships/hyperlink" Target="http://www.scielo.mec.pt/scielo.php?script=sci_arttext&amp;pid=S218359852018000400003&amp;lng=pt&amp;nrm=i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zkneto@hotmail.com" TargetMode="External"/><Relationship Id="rId14" Type="http://schemas.openxmlformats.org/officeDocument/2006/relationships/hyperlink" Target="http://dx.doi.org/10.1016/j.puhe.2019.04.00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3415-FB11-408A-BA1D-2CDC18BB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4230</Words>
  <Characters>22845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Samuca.Com Informática</Company>
  <LinksUpToDate>false</LinksUpToDate>
  <CharactersWithSpaces>27021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Vera</cp:lastModifiedBy>
  <cp:revision>2</cp:revision>
  <cp:lastPrinted>2019-10-18T17:52:00Z</cp:lastPrinted>
  <dcterms:created xsi:type="dcterms:W3CDTF">2019-10-20T19:00:00Z</dcterms:created>
  <dcterms:modified xsi:type="dcterms:W3CDTF">2019-10-20T19:00:00Z</dcterms:modified>
</cp:coreProperties>
</file>